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A7E222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197D77">
            <w:t>PGECOPUM105</w:t>
          </w:r>
        </w:sdtContent>
      </w:sdt>
    </w:p>
    <w:bookmarkEnd w:id="0"/>
    <w:p w14:paraId="7601CE2F" w14:textId="75D6BD50" w:rsidR="00DA690B" w:rsidRPr="00500C4E" w:rsidRDefault="00F05DB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197D77">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C7865B0" w:rsidR="00DA690B" w:rsidRPr="00500C4E" w:rsidRDefault="00F05DB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197D77">
            <w:rPr>
              <w:rFonts w:cstheme="minorHAnsi"/>
              <w:b/>
              <w:sz w:val="36"/>
              <w:szCs w:val="36"/>
            </w:rPr>
            <w:t>Pacific Gas &amp; Electric Company</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B20238D" w:rsidR="00DA690B" w:rsidRPr="00500C4E" w:rsidRDefault="00197D77" w:rsidP="00DA690B">
      <w:pPr>
        <w:rPr>
          <w:rFonts w:cstheme="minorHAnsi"/>
          <w:b/>
          <w:sz w:val="72"/>
          <w:szCs w:val="72"/>
        </w:rPr>
      </w:pPr>
      <w:r>
        <w:rPr>
          <w:rFonts w:cstheme="minorHAnsi"/>
          <w:b/>
          <w:sz w:val="72"/>
          <w:szCs w:val="72"/>
        </w:rPr>
        <w:t>Motor Upgrade</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8FEE67B" w14:textId="3A3BD88E" w:rsidR="00EF4E6B" w:rsidRPr="00500C4E" w:rsidRDefault="00EF4E6B" w:rsidP="00EF4E6B">
      <w:pPr>
        <w:pStyle w:val="Reminders"/>
        <w:rPr>
          <w:rFonts w:asciiTheme="minorHAnsi" w:hAnsiTheme="minorHAnsi" w:cstheme="minorHAnsi"/>
          <w:b/>
          <w:i w:val="0"/>
          <w:color w:val="0070C0"/>
          <w:sz w:val="32"/>
          <w:szCs w:val="22"/>
        </w:rPr>
      </w:pPr>
      <w:r w:rsidRPr="00500C4E">
        <w:rPr>
          <w:rFonts w:asciiTheme="minorHAnsi" w:hAnsiTheme="minorHAnsi" w:cstheme="minorHAnsi"/>
          <w:b/>
          <w:i w:val="0"/>
          <w:color w:val="0070C0"/>
          <w:sz w:val="32"/>
          <w:szCs w:val="22"/>
        </w:rPr>
        <w:t>For W</w:t>
      </w:r>
      <w:r w:rsidR="00500C4E" w:rsidRPr="00500C4E">
        <w:rPr>
          <w:rFonts w:asciiTheme="minorHAnsi" w:hAnsiTheme="minorHAnsi" w:cstheme="minorHAnsi"/>
          <w:b/>
          <w:i w:val="0"/>
          <w:color w:val="0070C0"/>
          <w:sz w:val="32"/>
          <w:szCs w:val="22"/>
        </w:rPr>
        <w:t>ork Paper</w:t>
      </w:r>
      <w:r w:rsidRPr="00500C4E">
        <w:rPr>
          <w:rFonts w:asciiTheme="minorHAnsi" w:hAnsiTheme="minorHAnsi" w:cstheme="minorHAnsi"/>
          <w:b/>
          <w:i w:val="0"/>
          <w:color w:val="0070C0"/>
          <w:sz w:val="32"/>
          <w:szCs w:val="22"/>
        </w:rPr>
        <w:t xml:space="preserve"> Reviewer Use Only</w:t>
      </w:r>
    </w:p>
    <w:p w14:paraId="65DD049A" w14:textId="2A0780AF" w:rsidR="00523736" w:rsidRPr="00500C4E" w:rsidRDefault="00EF4E6B" w:rsidP="00EF4E6B">
      <w:pPr>
        <w:pStyle w:val="Reminders"/>
        <w:rPr>
          <w:rFonts w:asciiTheme="minorHAnsi" w:hAnsiTheme="minorHAnsi" w:cstheme="minorHAnsi"/>
          <w:b/>
          <w:i w:val="0"/>
          <w:sz w:val="36"/>
          <w:szCs w:val="22"/>
        </w:rPr>
      </w:pPr>
      <w:r w:rsidRPr="00500C4E">
        <w:rPr>
          <w:rFonts w:asciiTheme="minorHAnsi" w:hAnsiTheme="minorHAnsi" w:cstheme="minorHAnsi"/>
          <w:b/>
          <w:i w:val="0"/>
          <w:color w:val="0070C0"/>
          <w:szCs w:val="20"/>
        </w:rPr>
        <w:t>List</w:t>
      </w:r>
      <w:r w:rsidR="00500C4E" w:rsidRPr="00500C4E">
        <w:rPr>
          <w:rFonts w:asciiTheme="minorHAnsi" w:hAnsiTheme="minorHAnsi" w:cstheme="minorHAnsi"/>
          <w:b/>
          <w:i w:val="0"/>
          <w:color w:val="0070C0"/>
          <w:szCs w:val="20"/>
        </w:rPr>
        <w:t xml:space="preserve"> all</w:t>
      </w:r>
      <w:r w:rsidRPr="00500C4E">
        <w:rPr>
          <w:rFonts w:asciiTheme="minorHAnsi" w:hAnsiTheme="minorHAnsi" w:cstheme="minorHAnsi"/>
          <w:b/>
          <w:i w:val="0"/>
          <w:color w:val="0070C0"/>
          <w:szCs w:val="20"/>
        </w:rPr>
        <w:t xml:space="preserve"> major comments that occurred during the review. This table may only be removed</w:t>
      </w:r>
      <w:r w:rsidR="00205C45" w:rsidRPr="00500C4E">
        <w:rPr>
          <w:rFonts w:asciiTheme="minorHAnsi" w:hAnsiTheme="minorHAnsi" w:cstheme="minorHAnsi"/>
          <w:b/>
          <w:i w:val="0"/>
          <w:color w:val="0070C0"/>
          <w:szCs w:val="20"/>
        </w:rPr>
        <w:t xml:space="preserve"> during management review</w:t>
      </w:r>
      <w:r w:rsidR="00F65ABA" w:rsidRPr="00500C4E">
        <w:rPr>
          <w:rFonts w:asciiTheme="minorHAnsi" w:hAnsiTheme="minorHAnsi" w:cstheme="minorHAnsi"/>
          <w:b/>
          <w:i w:val="0"/>
          <w:color w:val="0070C0"/>
          <w:szCs w:val="20"/>
        </w:rPr>
        <w:t>.</w:t>
      </w:r>
    </w:p>
    <w:tbl>
      <w:tblPr>
        <w:tblStyle w:val="TableGrid1"/>
        <w:tblW w:w="5000" w:type="pct"/>
        <w:tblLook w:val="04A0" w:firstRow="1" w:lastRow="0" w:firstColumn="1" w:lastColumn="0" w:noHBand="0" w:noVBand="1"/>
      </w:tblPr>
      <w:tblGrid>
        <w:gridCol w:w="3866"/>
        <w:gridCol w:w="1333"/>
        <w:gridCol w:w="799"/>
        <w:gridCol w:w="3578"/>
      </w:tblGrid>
      <w:tr w:rsidR="001B2301" w:rsidRPr="00500C4E" w14:paraId="04E914EA" w14:textId="77777777" w:rsidTr="00920905">
        <w:tc>
          <w:tcPr>
            <w:tcW w:w="2019" w:type="pct"/>
            <w:shd w:val="clear" w:color="auto" w:fill="D9D9D9" w:themeFill="background1" w:themeFillShade="D9"/>
          </w:tcPr>
          <w:p w14:paraId="6B0674F7"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Major Comment</w:t>
            </w:r>
          </w:p>
        </w:tc>
        <w:tc>
          <w:tcPr>
            <w:tcW w:w="696" w:type="pct"/>
            <w:shd w:val="clear" w:color="auto" w:fill="D9D9D9" w:themeFill="background1" w:themeFillShade="D9"/>
          </w:tcPr>
          <w:p w14:paraId="71C20C95"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Reviewer Name</w:t>
            </w:r>
          </w:p>
        </w:tc>
        <w:tc>
          <w:tcPr>
            <w:tcW w:w="417" w:type="pct"/>
            <w:shd w:val="clear" w:color="auto" w:fill="D9D9D9" w:themeFill="background1" w:themeFillShade="D9"/>
          </w:tcPr>
          <w:p w14:paraId="3C699CDA"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Date</w:t>
            </w:r>
          </w:p>
        </w:tc>
        <w:tc>
          <w:tcPr>
            <w:tcW w:w="1868" w:type="pct"/>
            <w:shd w:val="clear" w:color="auto" w:fill="D9D9D9" w:themeFill="background1" w:themeFillShade="D9"/>
          </w:tcPr>
          <w:p w14:paraId="3AB32040" w14:textId="77777777" w:rsidR="001B2301" w:rsidRPr="00920905" w:rsidRDefault="001B2301" w:rsidP="00920905">
            <w:pPr>
              <w:pStyle w:val="Reminders"/>
              <w:spacing w:before="0" w:after="0"/>
              <w:rPr>
                <w:rFonts w:asciiTheme="minorHAnsi" w:hAnsiTheme="minorHAnsi" w:cstheme="minorHAnsi"/>
                <w:b/>
                <w:i w:val="0"/>
                <w:color w:val="0070C0"/>
                <w:szCs w:val="20"/>
              </w:rPr>
            </w:pPr>
            <w:r w:rsidRPr="00920905">
              <w:rPr>
                <w:rFonts w:asciiTheme="minorHAnsi" w:hAnsiTheme="minorHAnsi" w:cstheme="minorHAnsi"/>
                <w:b/>
                <w:i w:val="0"/>
                <w:color w:val="0070C0"/>
                <w:szCs w:val="20"/>
              </w:rPr>
              <w:t xml:space="preserve">Outcome/Resolution </w:t>
            </w:r>
          </w:p>
        </w:tc>
      </w:tr>
      <w:tr w:rsidR="001B2301" w:rsidRPr="00500C4E" w14:paraId="72B1DF65" w14:textId="77777777" w:rsidTr="00920905">
        <w:tc>
          <w:tcPr>
            <w:tcW w:w="2019" w:type="pct"/>
          </w:tcPr>
          <w:p w14:paraId="7CD40A6E" w14:textId="4D64A81D" w:rsidR="001B2301" w:rsidRPr="003D17FF" w:rsidRDefault="001B2301" w:rsidP="00920905">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 xml:space="preserve">E.g. Please remove </w:t>
            </w:r>
            <w:r w:rsidR="003A3170" w:rsidRPr="003D17FF">
              <w:rPr>
                <w:rFonts w:asciiTheme="minorHAnsi" w:hAnsiTheme="minorHAnsi" w:cstheme="minorHAnsi"/>
                <w:i w:val="0"/>
                <w:color w:val="0070C0"/>
                <w:szCs w:val="20"/>
              </w:rPr>
              <w:t>measure</w:t>
            </w:r>
            <w:r w:rsidRPr="003D17FF">
              <w:rPr>
                <w:rFonts w:asciiTheme="minorHAnsi" w:hAnsiTheme="minorHAnsi" w:cstheme="minorHAnsi"/>
                <w:i w:val="0"/>
                <w:color w:val="0070C0"/>
                <w:szCs w:val="20"/>
              </w:rPr>
              <w:t xml:space="preserve"> LT-1</w:t>
            </w:r>
            <w:r w:rsidR="00160158" w:rsidRPr="00920905">
              <w:rPr>
                <w:rFonts w:asciiTheme="minorHAnsi" w:hAnsiTheme="minorHAnsi" w:cstheme="minorHAnsi"/>
                <w:i w:val="0"/>
                <w:color w:val="0070C0"/>
                <w:szCs w:val="20"/>
              </w:rPr>
              <w:t>2345 (LD123)</w:t>
            </w:r>
            <w:r w:rsidRPr="003D17FF">
              <w:rPr>
                <w:rFonts w:asciiTheme="minorHAnsi" w:hAnsiTheme="minorHAnsi" w:cstheme="minorHAnsi"/>
                <w:i w:val="0"/>
                <w:color w:val="0070C0"/>
                <w:szCs w:val="20"/>
              </w:rPr>
              <w:t xml:space="preserve"> from this work paper because it is no longer eligible for incentives.</w:t>
            </w:r>
          </w:p>
        </w:tc>
        <w:tc>
          <w:tcPr>
            <w:tcW w:w="696" w:type="pct"/>
          </w:tcPr>
          <w:p w14:paraId="6DA10B5B" w14:textId="6AD97364"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Reviewer 1</w:t>
            </w:r>
          </w:p>
        </w:tc>
        <w:tc>
          <w:tcPr>
            <w:tcW w:w="417" w:type="pct"/>
          </w:tcPr>
          <w:p w14:paraId="563D8364" w14:textId="332CB4FF" w:rsidR="001B2301" w:rsidRPr="003D17FF" w:rsidRDefault="002A523E" w:rsidP="00920905">
            <w:pPr>
              <w:pStyle w:val="Reminders"/>
              <w:spacing w:before="0" w:after="0"/>
              <w:rPr>
                <w:rFonts w:asciiTheme="minorHAnsi" w:hAnsiTheme="minorHAnsi" w:cstheme="minorHAnsi"/>
                <w:i w:val="0"/>
                <w:color w:val="0070C0"/>
                <w:szCs w:val="20"/>
              </w:rPr>
            </w:pPr>
            <w:r>
              <w:rPr>
                <w:rFonts w:asciiTheme="minorHAnsi" w:hAnsiTheme="minorHAnsi" w:cstheme="minorHAnsi"/>
                <w:i w:val="0"/>
                <w:color w:val="0070C0"/>
                <w:szCs w:val="20"/>
              </w:rPr>
              <w:t>6/1/15</w:t>
            </w:r>
          </w:p>
        </w:tc>
        <w:tc>
          <w:tcPr>
            <w:tcW w:w="1868" w:type="pct"/>
          </w:tcPr>
          <w:p w14:paraId="10E66B5F" w14:textId="563767B1" w:rsidR="001B2301" w:rsidRPr="003D17FF" w:rsidRDefault="001B2301" w:rsidP="003B531C">
            <w:pPr>
              <w:pStyle w:val="Reminders"/>
              <w:spacing w:before="0" w:after="0"/>
              <w:rPr>
                <w:rFonts w:asciiTheme="minorHAnsi" w:hAnsiTheme="minorHAnsi" w:cstheme="minorHAnsi"/>
                <w:i w:val="0"/>
                <w:color w:val="0070C0"/>
                <w:szCs w:val="20"/>
              </w:rPr>
            </w:pPr>
            <w:r w:rsidRPr="003D17FF">
              <w:rPr>
                <w:rFonts w:asciiTheme="minorHAnsi" w:hAnsiTheme="minorHAnsi" w:cstheme="minorHAnsi"/>
                <w:i w:val="0"/>
                <w:color w:val="0070C0"/>
                <w:szCs w:val="20"/>
              </w:rPr>
              <w:t>E.g.</w:t>
            </w:r>
            <w:r w:rsidR="00160158" w:rsidRPr="00920905">
              <w:rPr>
                <w:rFonts w:asciiTheme="minorHAnsi" w:hAnsiTheme="minorHAnsi" w:cstheme="minorHAnsi"/>
                <w:i w:val="0"/>
                <w:color w:val="0070C0"/>
                <w:szCs w:val="20"/>
              </w:rPr>
              <w:t xml:space="preserve"> Comment</w:t>
            </w:r>
            <w:r w:rsidRPr="003D17FF">
              <w:rPr>
                <w:rFonts w:asciiTheme="minorHAnsi" w:hAnsiTheme="minorHAnsi" w:cstheme="minorHAnsi"/>
                <w:i w:val="0"/>
                <w:color w:val="0070C0"/>
                <w:szCs w:val="20"/>
              </w:rPr>
              <w:t xml:space="preserve"> </w:t>
            </w:r>
            <w:r w:rsidR="00160158" w:rsidRPr="00920905">
              <w:rPr>
                <w:rFonts w:asciiTheme="minorHAnsi" w:hAnsiTheme="minorHAnsi" w:cstheme="minorHAnsi"/>
                <w:i w:val="0"/>
                <w:color w:val="0070C0"/>
                <w:szCs w:val="20"/>
              </w:rPr>
              <w:t>i</w:t>
            </w:r>
            <w:r w:rsidRPr="003D17FF">
              <w:rPr>
                <w:rFonts w:asciiTheme="minorHAnsi" w:hAnsiTheme="minorHAnsi" w:cstheme="minorHAnsi"/>
                <w:i w:val="0"/>
                <w:color w:val="0070C0"/>
                <w:szCs w:val="20"/>
              </w:rPr>
              <w:t>ncorporated.</w:t>
            </w:r>
            <w:r w:rsidR="00160158" w:rsidRPr="00920905">
              <w:rPr>
                <w:rFonts w:asciiTheme="minorHAnsi" w:hAnsiTheme="minorHAnsi" w:cstheme="minorHAnsi"/>
                <w:i w:val="0"/>
                <w:color w:val="0070C0"/>
                <w:szCs w:val="20"/>
              </w:rPr>
              <w:t xml:space="preserve"> </w:t>
            </w:r>
            <w:r w:rsidR="00F60265">
              <w:rPr>
                <w:rFonts w:asciiTheme="minorHAnsi" w:hAnsiTheme="minorHAnsi" w:cstheme="minorHAnsi"/>
                <w:i w:val="0"/>
                <w:color w:val="0070C0"/>
                <w:szCs w:val="20"/>
              </w:rPr>
              <w:t>LT-12345</w:t>
            </w:r>
            <w:r w:rsidR="00160158" w:rsidRPr="00920905">
              <w:rPr>
                <w:rFonts w:asciiTheme="minorHAnsi" w:hAnsiTheme="minorHAnsi" w:cstheme="minorHAnsi"/>
                <w:i w:val="0"/>
                <w:color w:val="0070C0"/>
                <w:szCs w:val="20"/>
              </w:rPr>
              <w:t xml:space="preserve"> was.</w:t>
            </w:r>
          </w:p>
        </w:tc>
      </w:tr>
      <w:tr w:rsidR="001B2301" w:rsidRPr="00500C4E" w14:paraId="7FB7EDF0" w14:textId="77777777" w:rsidTr="00920905">
        <w:tc>
          <w:tcPr>
            <w:tcW w:w="2019" w:type="pct"/>
          </w:tcPr>
          <w:p w14:paraId="2CD41543" w14:textId="46F5011E"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5F4070A6"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462E6AD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DC4BDF2" w14:textId="4038C3E6"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21B60B1" w14:textId="77777777" w:rsidTr="00920905">
        <w:tc>
          <w:tcPr>
            <w:tcW w:w="2019" w:type="pct"/>
          </w:tcPr>
          <w:p w14:paraId="4E30084C"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23BB2C0B"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5E957311"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266C418C"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r w:rsidR="001B2301" w:rsidRPr="00500C4E" w14:paraId="204337D5" w14:textId="77777777" w:rsidTr="00920905">
        <w:tc>
          <w:tcPr>
            <w:tcW w:w="2019" w:type="pct"/>
          </w:tcPr>
          <w:p w14:paraId="0F592F0F" w14:textId="77777777" w:rsidR="001B2301" w:rsidRPr="003D17FF" w:rsidRDefault="001B2301" w:rsidP="00920905">
            <w:pPr>
              <w:pStyle w:val="Reminders"/>
              <w:spacing w:before="0" w:after="0"/>
              <w:rPr>
                <w:rFonts w:asciiTheme="minorHAnsi" w:hAnsiTheme="minorHAnsi" w:cstheme="minorHAnsi"/>
                <w:i w:val="0"/>
                <w:color w:val="0070C0"/>
                <w:szCs w:val="20"/>
              </w:rPr>
            </w:pPr>
          </w:p>
        </w:tc>
        <w:tc>
          <w:tcPr>
            <w:tcW w:w="696" w:type="pct"/>
          </w:tcPr>
          <w:p w14:paraId="6B6F143C" w14:textId="64B495E1" w:rsidR="001B2301" w:rsidRPr="003D17FF" w:rsidRDefault="001B2301" w:rsidP="00920905">
            <w:pPr>
              <w:pStyle w:val="Reminders"/>
              <w:spacing w:before="0" w:after="0"/>
              <w:rPr>
                <w:rFonts w:asciiTheme="minorHAnsi" w:hAnsiTheme="minorHAnsi" w:cstheme="minorHAnsi"/>
                <w:i w:val="0"/>
                <w:color w:val="0070C0"/>
                <w:szCs w:val="20"/>
              </w:rPr>
            </w:pPr>
          </w:p>
        </w:tc>
        <w:tc>
          <w:tcPr>
            <w:tcW w:w="417" w:type="pct"/>
          </w:tcPr>
          <w:p w14:paraId="1F682E12" w14:textId="74E08754" w:rsidR="001B2301" w:rsidRPr="003D17FF" w:rsidRDefault="001B2301" w:rsidP="00920905">
            <w:pPr>
              <w:pStyle w:val="Reminders"/>
              <w:spacing w:before="0" w:after="0"/>
              <w:rPr>
                <w:rFonts w:asciiTheme="minorHAnsi" w:hAnsiTheme="minorHAnsi" w:cstheme="minorHAnsi"/>
                <w:i w:val="0"/>
                <w:color w:val="0070C0"/>
                <w:szCs w:val="20"/>
              </w:rPr>
            </w:pPr>
          </w:p>
        </w:tc>
        <w:tc>
          <w:tcPr>
            <w:tcW w:w="1868" w:type="pct"/>
          </w:tcPr>
          <w:p w14:paraId="7ABC2E25" w14:textId="77777777" w:rsidR="001B2301" w:rsidRPr="003D17FF" w:rsidRDefault="001B2301" w:rsidP="00920905">
            <w:pPr>
              <w:pStyle w:val="Reminders"/>
              <w:spacing w:before="0" w:after="0"/>
              <w:rPr>
                <w:rFonts w:asciiTheme="minorHAnsi" w:hAnsiTheme="minorHAnsi" w:cstheme="minorHAnsi"/>
                <w:i w:val="0"/>
                <w:color w:val="0070C0"/>
                <w:szCs w:val="20"/>
              </w:rPr>
            </w:pPr>
          </w:p>
        </w:tc>
      </w:tr>
    </w:tbl>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6861123" w14:textId="77777777" w:rsidR="005F1962" w:rsidRPr="005F1962" w:rsidRDefault="005F1962" w:rsidP="005F1962">
            <w:pPr>
              <w:rPr>
                <w:rFonts w:cs="Arial"/>
                <w:szCs w:val="20"/>
              </w:rPr>
            </w:pPr>
            <w:r w:rsidRPr="005F1962">
              <w:rPr>
                <w:rFonts w:cs="Arial"/>
                <w:szCs w:val="20"/>
              </w:rPr>
              <w:t>MT004 : NEMA PREMIUM EFFICIENCY MOTORS, 50 HP</w:t>
            </w:r>
          </w:p>
          <w:p w14:paraId="604C25C8" w14:textId="77777777" w:rsidR="005F1962" w:rsidRPr="005F1962" w:rsidRDefault="005F1962" w:rsidP="005F1962">
            <w:pPr>
              <w:rPr>
                <w:rFonts w:cs="Arial"/>
                <w:szCs w:val="20"/>
              </w:rPr>
            </w:pPr>
            <w:r w:rsidRPr="005F1962">
              <w:rPr>
                <w:rFonts w:cs="Arial"/>
                <w:szCs w:val="20"/>
              </w:rPr>
              <w:t>MT005 : NEMA PREMIUM EFFICIENCY MOTORS, 60 HP</w:t>
            </w:r>
          </w:p>
          <w:p w14:paraId="64526117" w14:textId="77777777" w:rsidR="005F1962" w:rsidRPr="005F1962" w:rsidRDefault="005F1962" w:rsidP="005F1962">
            <w:pPr>
              <w:rPr>
                <w:rFonts w:cs="Arial"/>
                <w:szCs w:val="20"/>
              </w:rPr>
            </w:pPr>
            <w:r w:rsidRPr="005F1962">
              <w:rPr>
                <w:rFonts w:cs="Arial"/>
                <w:szCs w:val="20"/>
              </w:rPr>
              <w:t>MT006 : NEMA PREMIUM EFFICIENCY MOTORS, 75 HP</w:t>
            </w:r>
          </w:p>
          <w:p w14:paraId="47639DBA" w14:textId="77777777" w:rsidR="005F1962" w:rsidRPr="005F1962" w:rsidRDefault="005F1962" w:rsidP="005F1962">
            <w:pPr>
              <w:rPr>
                <w:rFonts w:cs="Arial"/>
                <w:szCs w:val="20"/>
              </w:rPr>
            </w:pPr>
            <w:r w:rsidRPr="005F1962">
              <w:rPr>
                <w:rFonts w:cs="Arial"/>
                <w:szCs w:val="20"/>
              </w:rPr>
              <w:t>MT007 : NEMA PREMIUM EFFICIENCY MOTORS, 100 HP</w:t>
            </w:r>
          </w:p>
          <w:p w14:paraId="53A6B166" w14:textId="77777777" w:rsidR="005F1962" w:rsidRPr="005F1962" w:rsidRDefault="005F1962" w:rsidP="005F1962">
            <w:pPr>
              <w:rPr>
                <w:rFonts w:cs="Arial"/>
                <w:szCs w:val="20"/>
              </w:rPr>
            </w:pPr>
            <w:r w:rsidRPr="005F1962">
              <w:rPr>
                <w:rFonts w:cs="Arial"/>
                <w:szCs w:val="20"/>
              </w:rPr>
              <w:t>MT008 : NEMA PREMIUM EFFICIENCY MOTORS, 125 HP</w:t>
            </w:r>
          </w:p>
          <w:p w14:paraId="3CF0852D" w14:textId="77777777" w:rsidR="005F1962" w:rsidRPr="005F1962" w:rsidRDefault="005F1962" w:rsidP="005F1962">
            <w:pPr>
              <w:rPr>
                <w:rFonts w:cs="Arial"/>
                <w:szCs w:val="20"/>
              </w:rPr>
            </w:pPr>
            <w:r w:rsidRPr="005F1962">
              <w:rPr>
                <w:rFonts w:cs="Arial"/>
                <w:szCs w:val="20"/>
              </w:rPr>
              <w:t>MT009 : NEMA PREMIUM EFFICIENCY MOTORS, 150 HP</w:t>
            </w:r>
          </w:p>
          <w:p w14:paraId="7231D122" w14:textId="77777777" w:rsidR="005F1962" w:rsidRPr="005F1962" w:rsidRDefault="005F1962" w:rsidP="005F1962">
            <w:pPr>
              <w:rPr>
                <w:rFonts w:cs="Arial"/>
                <w:szCs w:val="20"/>
              </w:rPr>
            </w:pPr>
            <w:r w:rsidRPr="005F1962">
              <w:rPr>
                <w:rFonts w:cs="Arial"/>
                <w:szCs w:val="20"/>
              </w:rPr>
              <w:t>MT010 : NEMA PREMIUM EFFICIENCY MOTORS, 200 HP</w:t>
            </w:r>
          </w:p>
          <w:p w14:paraId="7C30F19F" w14:textId="77777777" w:rsidR="005F1962" w:rsidRPr="005F1962" w:rsidRDefault="005F1962" w:rsidP="005F1962">
            <w:pPr>
              <w:rPr>
                <w:rFonts w:cs="Arial"/>
                <w:szCs w:val="20"/>
              </w:rPr>
            </w:pPr>
            <w:r w:rsidRPr="005F1962">
              <w:rPr>
                <w:rFonts w:cs="Arial"/>
                <w:szCs w:val="20"/>
              </w:rPr>
              <w:t>MT011 : NEMA PREMIUM EFFICIENCY MOTORS, 250 HP</w:t>
            </w:r>
          </w:p>
          <w:p w14:paraId="7CB24CBB" w14:textId="77777777" w:rsidR="005F1962" w:rsidRPr="005F1962" w:rsidRDefault="005F1962" w:rsidP="005F1962">
            <w:pPr>
              <w:rPr>
                <w:rFonts w:cs="Arial"/>
                <w:szCs w:val="20"/>
              </w:rPr>
            </w:pPr>
            <w:r w:rsidRPr="005F1962">
              <w:rPr>
                <w:rFonts w:cs="Arial"/>
                <w:szCs w:val="20"/>
              </w:rPr>
              <w:t>MT012 : NEMA PREMIUM EFFICIENCY MOTORS, 300 HP</w:t>
            </w:r>
          </w:p>
          <w:p w14:paraId="5F369865" w14:textId="77777777" w:rsidR="005F1962" w:rsidRPr="005F1962" w:rsidRDefault="005F1962" w:rsidP="005F1962">
            <w:pPr>
              <w:rPr>
                <w:rFonts w:cs="Arial"/>
                <w:szCs w:val="20"/>
              </w:rPr>
            </w:pPr>
            <w:r w:rsidRPr="005F1962">
              <w:rPr>
                <w:rFonts w:cs="Arial"/>
                <w:szCs w:val="20"/>
              </w:rPr>
              <w:t>MT013 : NEMA PREMIUM EFFICIENCY MOTORS, 350 HP</w:t>
            </w:r>
          </w:p>
          <w:p w14:paraId="4C813B46" w14:textId="77777777" w:rsidR="005F1962" w:rsidRPr="005F1962" w:rsidRDefault="005F1962" w:rsidP="005F1962">
            <w:pPr>
              <w:rPr>
                <w:rFonts w:cs="Arial"/>
                <w:szCs w:val="20"/>
              </w:rPr>
            </w:pPr>
            <w:r w:rsidRPr="005F1962">
              <w:rPr>
                <w:rFonts w:cs="Arial"/>
                <w:szCs w:val="20"/>
              </w:rPr>
              <w:t>MT014 : NEMA PREMIUM EFFICIENCY MOTORS, 400 HP</w:t>
            </w:r>
          </w:p>
          <w:p w14:paraId="14CBCB71" w14:textId="77777777" w:rsidR="005F1962" w:rsidRPr="005F1962" w:rsidRDefault="005F1962" w:rsidP="005F1962">
            <w:pPr>
              <w:rPr>
                <w:rFonts w:cs="Arial"/>
                <w:szCs w:val="20"/>
              </w:rPr>
            </w:pPr>
            <w:r w:rsidRPr="005F1962">
              <w:rPr>
                <w:rFonts w:cs="Arial"/>
                <w:szCs w:val="20"/>
              </w:rPr>
              <w:t>MT015 : NEMA PREMIUM EFFICIENCY MOTORS, 450 HP</w:t>
            </w:r>
          </w:p>
          <w:p w14:paraId="4F4CB7F6" w14:textId="69486DD0" w:rsidR="00AC5309" w:rsidRPr="00500C4E" w:rsidRDefault="005F1962" w:rsidP="005F1962">
            <w:pPr>
              <w:rPr>
                <w:rFonts w:cs="Arial"/>
                <w:bCs/>
                <w:color w:val="FF0000"/>
                <w:szCs w:val="20"/>
              </w:rPr>
            </w:pPr>
            <w:r w:rsidRPr="005F1962">
              <w:rPr>
                <w:rFonts w:cs="Arial"/>
                <w:szCs w:val="20"/>
              </w:rPr>
              <w:t>MT016 : NEMA PREMIUM EFFICIENCY MOTORS, 500 HP</w:t>
            </w:r>
          </w:p>
        </w:tc>
      </w:tr>
      <w:tr w:rsidR="00AC5309" w:rsidRPr="00500C4E" w14:paraId="63B310F0" w14:textId="77777777" w:rsidTr="00920905">
        <w:trPr>
          <w:trHeight w:val="465"/>
        </w:trPr>
        <w:tc>
          <w:tcPr>
            <w:tcW w:w="1875" w:type="pct"/>
          </w:tcPr>
          <w:p w14:paraId="5050E2A3" w14:textId="2CBF1387" w:rsidR="00290ED8" w:rsidRPr="00DB5940" w:rsidRDefault="00290ED8">
            <w:pPr>
              <w:rPr>
                <w:rStyle w:val="Strong"/>
                <w:rFonts w:asciiTheme="minorHAnsi" w:hAnsiTheme="minorHAnsi"/>
                <w:sz w:val="20"/>
                <w:szCs w:val="20"/>
              </w:rPr>
            </w:pPr>
            <w:r w:rsidRPr="00DB5940">
              <w:rPr>
                <w:rStyle w:val="Strong"/>
                <w:rFonts w:asciiTheme="minorHAnsi" w:hAnsiTheme="minorHAnsi"/>
                <w:sz w:val="20"/>
                <w:szCs w:val="20"/>
              </w:rPr>
              <w:t>Measure</w:t>
            </w:r>
            <w:r w:rsidR="001D3223" w:rsidRPr="00DB5940">
              <w:rPr>
                <w:rStyle w:val="Strong"/>
                <w:rFonts w:asciiTheme="minorHAnsi" w:hAnsiTheme="minorHAnsi"/>
                <w:sz w:val="20"/>
                <w:szCs w:val="20"/>
              </w:rPr>
              <w:t xml:space="preserve"> </w:t>
            </w:r>
            <w:r w:rsidRPr="00DB5940">
              <w:rPr>
                <w:rStyle w:val="Strong"/>
                <w:rFonts w:asciiTheme="minorHAnsi" w:hAnsiTheme="minorHAnsi"/>
                <w:sz w:val="20"/>
                <w:szCs w:val="20"/>
              </w:rPr>
              <w:t>Description</w:t>
            </w:r>
          </w:p>
        </w:tc>
        <w:tc>
          <w:tcPr>
            <w:tcW w:w="3125" w:type="pct"/>
          </w:tcPr>
          <w:p w14:paraId="4A135BBC" w14:textId="654E7AE3" w:rsidR="00290ED8" w:rsidRPr="00DB5940" w:rsidRDefault="00197D77">
            <w:pPr>
              <w:rPr>
                <w:rFonts w:cs="Arial"/>
                <w:szCs w:val="20"/>
              </w:rPr>
            </w:pPr>
            <w:r w:rsidRPr="00DB5940">
              <w:rPr>
                <w:rFonts w:cs="Arial"/>
                <w:szCs w:val="20"/>
              </w:rPr>
              <w:t>NEMA Premium Efficiency motors</w:t>
            </w:r>
          </w:p>
        </w:tc>
      </w:tr>
      <w:tr w:rsidR="00AC5309" w:rsidRPr="00500C4E" w14:paraId="085771EF" w14:textId="77777777" w:rsidTr="00920905">
        <w:trPr>
          <w:trHeight w:val="465"/>
        </w:trPr>
        <w:tc>
          <w:tcPr>
            <w:tcW w:w="1875" w:type="pct"/>
          </w:tcPr>
          <w:p w14:paraId="679DB8A0" w14:textId="3D691398" w:rsidR="00290ED8" w:rsidRPr="00DB5940" w:rsidRDefault="00290ED8">
            <w:pPr>
              <w:rPr>
                <w:rStyle w:val="Strong"/>
                <w:rFonts w:asciiTheme="minorHAnsi" w:hAnsiTheme="minorHAnsi"/>
                <w:sz w:val="20"/>
                <w:szCs w:val="20"/>
              </w:rPr>
            </w:pPr>
            <w:r w:rsidRPr="00DB5940">
              <w:rPr>
                <w:rStyle w:val="Strong"/>
                <w:rFonts w:asciiTheme="minorHAnsi" w:hAnsiTheme="minorHAnsi"/>
                <w:sz w:val="20"/>
                <w:szCs w:val="20"/>
              </w:rPr>
              <w:t>Base Case Description</w:t>
            </w:r>
          </w:p>
        </w:tc>
        <w:tc>
          <w:tcPr>
            <w:tcW w:w="3125" w:type="pct"/>
          </w:tcPr>
          <w:p w14:paraId="28C0D27B" w14:textId="102B1889" w:rsidR="00290ED8" w:rsidRPr="00DB5940" w:rsidRDefault="00DA464F">
            <w:pPr>
              <w:rPr>
                <w:rFonts w:cs="Arial"/>
                <w:szCs w:val="20"/>
              </w:rPr>
            </w:pPr>
            <w:r w:rsidRPr="00DB5940">
              <w:rPr>
                <w:rFonts w:cs="Arial"/>
                <w:szCs w:val="20"/>
              </w:rPr>
              <w:t>Rewound motor with efficiency equal NEMA Energy Efficient Standard</w:t>
            </w:r>
          </w:p>
        </w:tc>
      </w:tr>
      <w:tr w:rsidR="00D36798" w:rsidRPr="00500C4E" w14:paraId="5C218003" w14:textId="77777777" w:rsidTr="00920905">
        <w:trPr>
          <w:trHeight w:val="465"/>
        </w:trPr>
        <w:tc>
          <w:tcPr>
            <w:tcW w:w="1875" w:type="pct"/>
          </w:tcPr>
          <w:p w14:paraId="1DBA889C" w14:textId="032192ED" w:rsidR="00D36798" w:rsidRPr="00DB5940" w:rsidRDefault="00B4065F">
            <w:pPr>
              <w:rPr>
                <w:rStyle w:val="Strong"/>
                <w:rFonts w:asciiTheme="minorHAnsi" w:hAnsiTheme="minorHAnsi"/>
                <w:sz w:val="20"/>
                <w:szCs w:val="20"/>
              </w:rPr>
            </w:pPr>
            <w:r w:rsidRPr="00DB5940">
              <w:rPr>
                <w:rStyle w:val="Strong"/>
                <w:rFonts w:asciiTheme="minorHAnsi" w:hAnsiTheme="minorHAnsi"/>
                <w:sz w:val="20"/>
                <w:szCs w:val="20"/>
              </w:rPr>
              <w:t>Units</w:t>
            </w:r>
          </w:p>
        </w:tc>
        <w:tc>
          <w:tcPr>
            <w:tcW w:w="3125" w:type="pct"/>
          </w:tcPr>
          <w:p w14:paraId="181797A6" w14:textId="2D4C4C44" w:rsidR="00D36798" w:rsidRPr="00DB5940" w:rsidRDefault="00DA464F">
            <w:pPr>
              <w:rPr>
                <w:rFonts w:cs="Arial"/>
                <w:szCs w:val="20"/>
              </w:rPr>
            </w:pPr>
            <w:r w:rsidRPr="00DB5940">
              <w:rPr>
                <w:rFonts w:cs="Arial"/>
                <w:szCs w:val="20"/>
              </w:rPr>
              <w:t>Per HP</w:t>
            </w:r>
          </w:p>
        </w:tc>
      </w:tr>
      <w:tr w:rsidR="00290ED8" w:rsidRPr="00500C4E" w14:paraId="66C8B424" w14:textId="77777777" w:rsidTr="00920905">
        <w:trPr>
          <w:trHeight w:val="465"/>
        </w:trPr>
        <w:tc>
          <w:tcPr>
            <w:tcW w:w="1875" w:type="pct"/>
          </w:tcPr>
          <w:p w14:paraId="0C38E296" w14:textId="625EE0BE" w:rsidR="00290ED8" w:rsidRPr="00DB5940" w:rsidRDefault="001C1338">
            <w:pPr>
              <w:rPr>
                <w:rStyle w:val="Strong1"/>
                <w:szCs w:val="20"/>
              </w:rPr>
            </w:pPr>
            <w:r w:rsidRPr="00DB5940">
              <w:rPr>
                <w:rStyle w:val="Strong"/>
                <w:rFonts w:asciiTheme="minorHAnsi" w:hAnsiTheme="minorHAnsi"/>
                <w:sz w:val="20"/>
                <w:szCs w:val="20"/>
              </w:rPr>
              <w:t>Energy Savings</w:t>
            </w:r>
          </w:p>
        </w:tc>
        <w:tc>
          <w:tcPr>
            <w:tcW w:w="3125" w:type="pct"/>
          </w:tcPr>
          <w:p w14:paraId="7D5952C1" w14:textId="59F02FD7" w:rsidR="00290ED8" w:rsidRPr="00DB5940" w:rsidRDefault="00D36798">
            <w:pPr>
              <w:rPr>
                <w:rFonts w:cs="Arial"/>
                <w:szCs w:val="20"/>
              </w:rPr>
            </w:pPr>
            <w:r w:rsidRPr="00DB5940">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DB5940" w:rsidRDefault="002469DD">
            <w:pPr>
              <w:rPr>
                <w:rStyle w:val="Strong"/>
                <w:rFonts w:asciiTheme="minorHAnsi" w:hAnsiTheme="minorHAnsi"/>
                <w:sz w:val="20"/>
                <w:szCs w:val="20"/>
              </w:rPr>
            </w:pPr>
            <w:r w:rsidRPr="00DB5940">
              <w:rPr>
                <w:rStyle w:val="Strong"/>
                <w:rFonts w:asciiTheme="minorHAnsi" w:hAnsiTheme="minorHAnsi"/>
                <w:sz w:val="20"/>
                <w:szCs w:val="20"/>
              </w:rPr>
              <w:t xml:space="preserve">Full </w:t>
            </w:r>
            <w:r w:rsidR="00290ED8" w:rsidRPr="00DB5940">
              <w:rPr>
                <w:rStyle w:val="Strong"/>
                <w:rFonts w:asciiTheme="minorHAnsi" w:hAnsiTheme="minorHAnsi"/>
                <w:sz w:val="20"/>
                <w:szCs w:val="20"/>
              </w:rPr>
              <w:t>Measure Cost ($/unit)</w:t>
            </w:r>
          </w:p>
        </w:tc>
        <w:tc>
          <w:tcPr>
            <w:tcW w:w="3125" w:type="pct"/>
          </w:tcPr>
          <w:p w14:paraId="55804062" w14:textId="43E444B2" w:rsidR="00290ED8" w:rsidRPr="00DB5940" w:rsidRDefault="00AC2F5B" w:rsidP="00AC2F5B">
            <w:pPr>
              <w:rPr>
                <w:rFonts w:cs="Arial"/>
                <w:szCs w:val="20"/>
              </w:rPr>
            </w:pPr>
            <w:r w:rsidRPr="00DB5940">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DB5940" w:rsidRDefault="00290ED8">
            <w:pPr>
              <w:rPr>
                <w:rStyle w:val="Strong"/>
                <w:rFonts w:asciiTheme="minorHAnsi" w:hAnsiTheme="minorHAnsi"/>
                <w:sz w:val="20"/>
                <w:szCs w:val="20"/>
              </w:rPr>
            </w:pPr>
            <w:r w:rsidRPr="00DB5940">
              <w:rPr>
                <w:rStyle w:val="Strong"/>
                <w:rFonts w:asciiTheme="minorHAnsi" w:hAnsiTheme="minorHAnsi"/>
                <w:sz w:val="20"/>
                <w:szCs w:val="20"/>
              </w:rPr>
              <w:t xml:space="preserve">Incremental </w:t>
            </w:r>
            <w:r w:rsidR="00BE0AEB" w:rsidRPr="00DB5940">
              <w:rPr>
                <w:rStyle w:val="Strong"/>
                <w:rFonts w:asciiTheme="minorHAnsi" w:hAnsiTheme="minorHAnsi"/>
                <w:sz w:val="20"/>
                <w:szCs w:val="20"/>
              </w:rPr>
              <w:t xml:space="preserve">Measure </w:t>
            </w:r>
            <w:r w:rsidRPr="00DB5940">
              <w:rPr>
                <w:rStyle w:val="Strong"/>
                <w:rFonts w:asciiTheme="minorHAnsi" w:hAnsiTheme="minorHAnsi"/>
                <w:sz w:val="20"/>
                <w:szCs w:val="20"/>
              </w:rPr>
              <w:t>Cost ($/unit)</w:t>
            </w:r>
          </w:p>
        </w:tc>
        <w:tc>
          <w:tcPr>
            <w:tcW w:w="3125" w:type="pct"/>
          </w:tcPr>
          <w:p w14:paraId="40CA5472" w14:textId="769750A2" w:rsidR="00290ED8" w:rsidRPr="00DB5940" w:rsidRDefault="00AC2F5B" w:rsidP="00AC2F5B">
            <w:pPr>
              <w:rPr>
                <w:rFonts w:cs="Arial"/>
                <w:szCs w:val="20"/>
              </w:rPr>
            </w:pPr>
            <w:r w:rsidRPr="00DB5940">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DB5940" w:rsidRDefault="00B4065F">
            <w:pPr>
              <w:rPr>
                <w:rStyle w:val="Strong"/>
                <w:rFonts w:asciiTheme="minorHAnsi" w:hAnsiTheme="minorHAnsi"/>
                <w:sz w:val="20"/>
                <w:szCs w:val="20"/>
              </w:rPr>
            </w:pPr>
            <w:r w:rsidRPr="00DB5940">
              <w:rPr>
                <w:rStyle w:val="Strong"/>
                <w:rFonts w:asciiTheme="minorHAnsi" w:hAnsiTheme="minorHAnsi"/>
                <w:sz w:val="20"/>
                <w:szCs w:val="20"/>
              </w:rPr>
              <w:t>Effective Useful Life</w:t>
            </w:r>
          </w:p>
        </w:tc>
        <w:tc>
          <w:tcPr>
            <w:tcW w:w="3125" w:type="pct"/>
          </w:tcPr>
          <w:p w14:paraId="70DC1712" w14:textId="446E2F54" w:rsidR="00290ED8" w:rsidRPr="00DB5940" w:rsidRDefault="001C1338">
            <w:pPr>
              <w:rPr>
                <w:rFonts w:cs="Arial"/>
                <w:szCs w:val="20"/>
              </w:rPr>
            </w:pPr>
            <w:r w:rsidRPr="00DB5940">
              <w:rPr>
                <w:rFonts w:cs="Arial"/>
                <w:szCs w:val="20"/>
              </w:rPr>
              <w:t>15 ye</w:t>
            </w:r>
            <w:r w:rsidR="00DA464F" w:rsidRPr="00DB5940">
              <w:rPr>
                <w:rFonts w:cs="Arial"/>
                <w:szCs w:val="20"/>
              </w:rPr>
              <w:t>ars, Premium-Efficiency Motors (DEER EUL ID: Motors-HiEff</w:t>
            </w:r>
            <w:r w:rsidRPr="00DB5940">
              <w:rPr>
                <w:rFonts w:cs="Arial"/>
                <w:szCs w:val="20"/>
              </w:rPr>
              <w:t>)</w:t>
            </w:r>
          </w:p>
        </w:tc>
      </w:tr>
      <w:tr w:rsidR="00AC5309" w:rsidRPr="00500C4E" w14:paraId="6FFAAB3B" w14:textId="77777777" w:rsidTr="00920905">
        <w:trPr>
          <w:trHeight w:val="465"/>
        </w:trPr>
        <w:tc>
          <w:tcPr>
            <w:tcW w:w="1875" w:type="pct"/>
          </w:tcPr>
          <w:p w14:paraId="080378E9" w14:textId="52D7A149" w:rsidR="00290ED8" w:rsidRPr="00DB5940" w:rsidRDefault="00290ED8">
            <w:pPr>
              <w:rPr>
                <w:rStyle w:val="Strong"/>
                <w:rFonts w:asciiTheme="minorHAnsi" w:hAnsiTheme="minorHAnsi"/>
                <w:sz w:val="20"/>
                <w:szCs w:val="20"/>
              </w:rPr>
            </w:pPr>
            <w:r w:rsidRPr="00DB5940">
              <w:rPr>
                <w:rStyle w:val="Strong"/>
                <w:rFonts w:asciiTheme="minorHAnsi" w:hAnsiTheme="minorHAnsi"/>
                <w:sz w:val="20"/>
                <w:szCs w:val="20"/>
              </w:rPr>
              <w:t xml:space="preserve">Measure </w:t>
            </w:r>
            <w:r w:rsidR="00AE0A8D" w:rsidRPr="00DB5940">
              <w:rPr>
                <w:rStyle w:val="Strong"/>
                <w:rFonts w:asciiTheme="minorHAnsi" w:hAnsiTheme="minorHAnsi"/>
                <w:sz w:val="20"/>
                <w:szCs w:val="20"/>
              </w:rPr>
              <w:t>Installation</w:t>
            </w:r>
            <w:r w:rsidRPr="00DB5940">
              <w:rPr>
                <w:rStyle w:val="Strong"/>
                <w:rFonts w:asciiTheme="minorHAnsi" w:hAnsiTheme="minorHAnsi"/>
                <w:sz w:val="20"/>
                <w:szCs w:val="20"/>
              </w:rPr>
              <w:t xml:space="preserve"> Type</w:t>
            </w:r>
          </w:p>
        </w:tc>
        <w:tc>
          <w:tcPr>
            <w:tcW w:w="3125" w:type="pct"/>
          </w:tcPr>
          <w:p w14:paraId="08423BBE" w14:textId="762B20DE" w:rsidR="00290ED8" w:rsidRPr="00DB5940" w:rsidRDefault="001C1338" w:rsidP="00DB5940">
            <w:pPr>
              <w:rPr>
                <w:rFonts w:cs="Arial"/>
                <w:szCs w:val="20"/>
              </w:rPr>
            </w:pPr>
            <w:r w:rsidRPr="00DB5940">
              <w:rPr>
                <w:szCs w:val="20"/>
              </w:rPr>
              <w:t>Replace on Burnout (ROB)</w:t>
            </w:r>
          </w:p>
        </w:tc>
      </w:tr>
      <w:tr w:rsidR="00290ED8" w:rsidRPr="00500C4E" w14:paraId="2EA80FC2" w14:textId="77777777" w:rsidTr="00920905">
        <w:trPr>
          <w:trHeight w:val="465"/>
        </w:trPr>
        <w:tc>
          <w:tcPr>
            <w:tcW w:w="1875" w:type="pct"/>
          </w:tcPr>
          <w:p w14:paraId="7E87F403" w14:textId="5683C17E" w:rsidR="00290ED8" w:rsidRPr="00DB5940" w:rsidRDefault="001C1338">
            <w:pPr>
              <w:rPr>
                <w:rStyle w:val="Strong"/>
                <w:rFonts w:asciiTheme="minorHAnsi" w:hAnsiTheme="minorHAnsi"/>
                <w:sz w:val="20"/>
                <w:szCs w:val="20"/>
              </w:rPr>
            </w:pPr>
            <w:r w:rsidRPr="00DB5940">
              <w:rPr>
                <w:rStyle w:val="Strong"/>
                <w:rFonts w:asciiTheme="minorHAnsi" w:hAnsiTheme="minorHAnsi"/>
                <w:sz w:val="20"/>
                <w:szCs w:val="20"/>
              </w:rPr>
              <w:t>Net-to-Gross Ratio</w:t>
            </w:r>
          </w:p>
        </w:tc>
        <w:tc>
          <w:tcPr>
            <w:tcW w:w="3125" w:type="pct"/>
          </w:tcPr>
          <w:p w14:paraId="40A9016A" w14:textId="0B21B18B" w:rsidR="00290ED8" w:rsidRPr="00DB5940" w:rsidRDefault="001C1338" w:rsidP="00DB5940">
            <w:pPr>
              <w:rPr>
                <w:rFonts w:cs="Arial"/>
                <w:szCs w:val="20"/>
              </w:rPr>
            </w:pPr>
            <w:r w:rsidRPr="00DB5940">
              <w:rPr>
                <w:rFonts w:cs="Arial"/>
                <w:szCs w:val="20"/>
              </w:rPr>
              <w:t xml:space="preserve">0.6 (DEER NTGR ID: </w:t>
            </w:r>
            <w:r w:rsidR="007C452E">
              <w:rPr>
                <w:szCs w:val="20"/>
              </w:rPr>
              <w:t>Com</w:t>
            </w:r>
            <w:r w:rsidRPr="00DB5940">
              <w:rPr>
                <w:szCs w:val="20"/>
              </w:rPr>
              <w:t>-Default&gt;2yrs)</w:t>
            </w:r>
          </w:p>
        </w:tc>
      </w:tr>
      <w:tr w:rsidR="00290ED8" w:rsidRPr="00500C4E" w14:paraId="7D762862" w14:textId="77777777" w:rsidTr="00920905">
        <w:trPr>
          <w:trHeight w:val="465"/>
        </w:trPr>
        <w:tc>
          <w:tcPr>
            <w:tcW w:w="1875" w:type="pct"/>
          </w:tcPr>
          <w:p w14:paraId="00714D90" w14:textId="5FAFD5EF" w:rsidR="00290ED8" w:rsidRPr="00DB5940" w:rsidRDefault="00290ED8">
            <w:pPr>
              <w:rPr>
                <w:rStyle w:val="Strong"/>
                <w:rFonts w:asciiTheme="minorHAnsi" w:hAnsiTheme="minorHAnsi"/>
                <w:sz w:val="20"/>
                <w:szCs w:val="20"/>
              </w:rPr>
            </w:pPr>
            <w:r w:rsidRPr="00DB5940">
              <w:rPr>
                <w:rStyle w:val="Strong"/>
                <w:rFonts w:asciiTheme="minorHAnsi" w:hAnsiTheme="minorHAnsi"/>
                <w:sz w:val="20"/>
                <w:szCs w:val="20"/>
              </w:rPr>
              <w:t>Important Comments</w:t>
            </w:r>
          </w:p>
        </w:tc>
        <w:tc>
          <w:tcPr>
            <w:tcW w:w="3125" w:type="pct"/>
          </w:tcPr>
          <w:p w14:paraId="15B936C0" w14:textId="2B94870B" w:rsidR="00061A8E" w:rsidRPr="00DB5940" w:rsidRDefault="00BE0AEB">
            <w:pPr>
              <w:rPr>
                <w:rFonts w:cs="Arial"/>
                <w:szCs w:val="20"/>
              </w:rPr>
            </w:pPr>
            <w:r w:rsidRPr="00DB5940">
              <w:rPr>
                <w:rFonts w:cs="Arial"/>
                <w:szCs w:val="20"/>
              </w:rPr>
              <w:t xml:space="preserve">This work paper has a complementary </w:t>
            </w:r>
            <w:r w:rsidR="00A84127" w:rsidRPr="00DB5940">
              <w:rPr>
                <w:rFonts w:cs="Arial"/>
                <w:szCs w:val="20"/>
              </w:rPr>
              <w:t>Ex Ante Data</w:t>
            </w:r>
            <w:r w:rsidR="00317EB0" w:rsidRPr="00DB5940">
              <w:rPr>
                <w:rFonts w:cs="Arial"/>
                <w:szCs w:val="20"/>
              </w:rPr>
              <w:t>base</w:t>
            </w:r>
            <w:r w:rsidR="00A84127" w:rsidRPr="00DB5940">
              <w:rPr>
                <w:rFonts w:cs="Arial"/>
                <w:szCs w:val="20"/>
              </w:rPr>
              <w:t xml:space="preserve"> </w:t>
            </w:r>
            <w:r w:rsidR="00A6687F" w:rsidRPr="00DB5940">
              <w:rPr>
                <w:rFonts w:cs="Arial"/>
                <w:szCs w:val="20"/>
              </w:rPr>
              <w:t>data</w:t>
            </w:r>
            <w:r w:rsidRPr="00DB5940">
              <w:rPr>
                <w:rFonts w:cs="Arial"/>
                <w:szCs w:val="20"/>
              </w:rPr>
              <w:t xml:space="preserve"> set</w:t>
            </w:r>
            <w:r w:rsidR="00A6687F" w:rsidRPr="00DB5940">
              <w:rPr>
                <w:rFonts w:cs="Arial"/>
                <w:szCs w:val="20"/>
              </w:rPr>
              <w:t xml:space="preserve"> that will be </w:t>
            </w:r>
            <w:r w:rsidR="001B2301" w:rsidRPr="00DB5940">
              <w:rPr>
                <w:rFonts w:cs="Arial"/>
                <w:szCs w:val="20"/>
              </w:rPr>
              <w:t xml:space="preserve">provided </w:t>
            </w:r>
            <w:r w:rsidR="00A6687F" w:rsidRPr="00DB5940">
              <w:rPr>
                <w:rFonts w:cs="Arial"/>
                <w:szCs w:val="20"/>
              </w:rPr>
              <w:t>in a separate submission to the California Public Utilities Commission (CPUC)</w:t>
            </w:r>
            <w:r w:rsidR="00A84127" w:rsidRPr="00DB5940">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373"/>
        <w:gridCol w:w="6598"/>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4C2CB3" w:rsidRDefault="00933188" w:rsidP="005729C8">
            <w:pPr>
              <w:rPr>
                <w:rFonts w:cstheme="minorHAnsi"/>
                <w:szCs w:val="20"/>
              </w:rPr>
            </w:pPr>
            <w:r w:rsidRPr="004C2CB3">
              <w:rPr>
                <w:rFonts w:cstheme="minorHAnsi"/>
                <w:szCs w:val="20"/>
              </w:rPr>
              <w:t>0</w:t>
            </w:r>
          </w:p>
        </w:tc>
        <w:tc>
          <w:tcPr>
            <w:tcW w:w="510" w:type="pct"/>
          </w:tcPr>
          <w:p w14:paraId="68BA349C" w14:textId="246C10DD" w:rsidR="00933188" w:rsidRPr="004C2CB3" w:rsidRDefault="005F1962" w:rsidP="005F1962">
            <w:pPr>
              <w:rPr>
                <w:rFonts w:cstheme="minorHAnsi"/>
                <w:szCs w:val="20"/>
              </w:rPr>
            </w:pPr>
            <w:r>
              <w:rPr>
                <w:rFonts w:cstheme="minorHAnsi"/>
                <w:szCs w:val="20"/>
              </w:rPr>
              <w:t>9/29</w:t>
            </w:r>
            <w:r w:rsidR="004C2CB3" w:rsidRPr="004C2CB3">
              <w:rPr>
                <w:rFonts w:cstheme="minorHAnsi"/>
                <w:szCs w:val="20"/>
              </w:rPr>
              <w:t>/2016</w:t>
            </w:r>
          </w:p>
        </w:tc>
        <w:tc>
          <w:tcPr>
            <w:tcW w:w="744" w:type="pct"/>
          </w:tcPr>
          <w:p w14:paraId="4A812BB3" w14:textId="32BC7D0A" w:rsidR="00933188" w:rsidRPr="004C2CB3" w:rsidRDefault="004C2CB3" w:rsidP="001B2301">
            <w:pPr>
              <w:rPr>
                <w:rFonts w:cstheme="minorHAnsi"/>
                <w:szCs w:val="20"/>
              </w:rPr>
            </w:pPr>
            <w:r w:rsidRPr="004C2CB3">
              <w:rPr>
                <w:rFonts w:cstheme="minorHAnsi"/>
                <w:szCs w:val="20"/>
              </w:rPr>
              <w:t>Jia Huang (PG&amp;E)</w:t>
            </w:r>
          </w:p>
        </w:tc>
        <w:tc>
          <w:tcPr>
            <w:tcW w:w="3463" w:type="pct"/>
          </w:tcPr>
          <w:p w14:paraId="693004F5" w14:textId="2BBCBA43" w:rsidR="0003746D" w:rsidRPr="004C2CB3" w:rsidRDefault="0003746D" w:rsidP="004C2CB3"/>
          <w:p w14:paraId="34F0A8ED" w14:textId="77777777" w:rsidR="0036726C" w:rsidRPr="00500C4E" w:rsidRDefault="0036726C" w:rsidP="00920905"/>
        </w:tc>
      </w:tr>
      <w:tr w:rsidR="003845E5" w:rsidRPr="00500C4E" w14:paraId="62DC1728" w14:textId="77777777" w:rsidTr="00847A4E">
        <w:trPr>
          <w:trHeight w:val="20"/>
        </w:trPr>
        <w:tc>
          <w:tcPr>
            <w:tcW w:w="283" w:type="pct"/>
          </w:tcPr>
          <w:p w14:paraId="3E501C93" w14:textId="77777777" w:rsidR="0036726C" w:rsidRPr="00500C4E" w:rsidRDefault="0036726C" w:rsidP="005729C8">
            <w:pPr>
              <w:rPr>
                <w:rFonts w:cstheme="minorHAnsi"/>
                <w:szCs w:val="20"/>
              </w:rPr>
            </w:pPr>
          </w:p>
        </w:tc>
        <w:tc>
          <w:tcPr>
            <w:tcW w:w="510" w:type="pct"/>
          </w:tcPr>
          <w:p w14:paraId="2265169C" w14:textId="77777777" w:rsidR="0036726C" w:rsidRPr="00500C4E" w:rsidRDefault="0036726C" w:rsidP="005729C8">
            <w:pPr>
              <w:rPr>
                <w:rFonts w:cstheme="minorHAnsi"/>
                <w:szCs w:val="20"/>
              </w:rPr>
            </w:pPr>
          </w:p>
        </w:tc>
        <w:tc>
          <w:tcPr>
            <w:tcW w:w="744" w:type="pct"/>
          </w:tcPr>
          <w:p w14:paraId="1B212508" w14:textId="77777777" w:rsidR="0036726C" w:rsidRPr="00500C4E" w:rsidRDefault="0036726C" w:rsidP="005729C8">
            <w:pPr>
              <w:rPr>
                <w:rFonts w:cstheme="minorHAnsi"/>
                <w:szCs w:val="20"/>
              </w:rPr>
            </w:pPr>
          </w:p>
        </w:tc>
        <w:tc>
          <w:tcPr>
            <w:tcW w:w="3463" w:type="pct"/>
          </w:tcPr>
          <w:p w14:paraId="61966CE2" w14:textId="49D027C4" w:rsidR="0036726C" w:rsidRPr="00500C4E" w:rsidRDefault="0036726C" w:rsidP="005729C8">
            <w:pPr>
              <w:rPr>
                <w:rFonts w:cstheme="minorHAnsi"/>
                <w:bCs/>
                <w:szCs w:val="20"/>
              </w:rPr>
            </w:pP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197D77">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197D77">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B78D3B9" w:rsidR="008877AF" w:rsidRPr="00EE4120" w:rsidRDefault="008877AF" w:rsidP="00197D77">
            <w:pPr>
              <w:rPr>
                <w:bCs/>
                <w:color w:val="FF0000"/>
              </w:rPr>
            </w:pPr>
            <w:r w:rsidRPr="00EE4120">
              <w:rPr>
                <w:bCs/>
                <w:color w:val="FF0000"/>
              </w:rPr>
              <w:t>0</w:t>
            </w:r>
          </w:p>
        </w:tc>
        <w:tc>
          <w:tcPr>
            <w:tcW w:w="351" w:type="pct"/>
          </w:tcPr>
          <w:p w14:paraId="23988046" w14:textId="34FE438B" w:rsidR="008877AF" w:rsidRPr="00EE4120" w:rsidRDefault="008877AF" w:rsidP="00197D77">
            <w:pPr>
              <w:rPr>
                <w:bCs/>
                <w:color w:val="FF0000"/>
                <w:szCs w:val="20"/>
              </w:rPr>
            </w:pPr>
            <w:r w:rsidRPr="00EE4120">
              <w:rPr>
                <w:bCs/>
                <w:color w:val="FF0000"/>
                <w:szCs w:val="20"/>
              </w:rPr>
              <w:t>CS</w:t>
            </w:r>
          </w:p>
        </w:tc>
        <w:tc>
          <w:tcPr>
            <w:tcW w:w="548" w:type="pct"/>
          </w:tcPr>
          <w:p w14:paraId="4AB37DB0" w14:textId="7D134E82" w:rsidR="008877AF" w:rsidRPr="00EE4120" w:rsidRDefault="008877AF" w:rsidP="00197D77">
            <w:pPr>
              <w:rPr>
                <w:bCs/>
                <w:color w:val="FF0000"/>
                <w:szCs w:val="20"/>
              </w:rPr>
            </w:pPr>
            <w:r>
              <w:rPr>
                <w:bCs/>
                <w:color w:val="FF0000"/>
                <w:szCs w:val="20"/>
              </w:rPr>
              <w:t>6/2</w:t>
            </w:r>
            <w:r w:rsidRPr="00EE4120">
              <w:rPr>
                <w:bCs/>
                <w:color w:val="FF0000"/>
                <w:szCs w:val="20"/>
              </w:rPr>
              <w:t>/15</w:t>
            </w:r>
          </w:p>
        </w:tc>
        <w:tc>
          <w:tcPr>
            <w:tcW w:w="552" w:type="pct"/>
          </w:tcPr>
          <w:p w14:paraId="62E998F6" w14:textId="1E766B90" w:rsidR="008877AF" w:rsidRPr="00EE4120" w:rsidRDefault="008877AF" w:rsidP="00197D77">
            <w:pPr>
              <w:rPr>
                <w:bCs/>
                <w:color w:val="FF0000"/>
                <w:szCs w:val="20"/>
              </w:rPr>
            </w:pPr>
            <w:r w:rsidRPr="00EE4120">
              <w:rPr>
                <w:bCs/>
                <w:color w:val="FF0000"/>
                <w:szCs w:val="20"/>
              </w:rPr>
              <w:t>6/15/15</w:t>
            </w:r>
          </w:p>
        </w:tc>
        <w:tc>
          <w:tcPr>
            <w:tcW w:w="1634" w:type="pct"/>
          </w:tcPr>
          <w:p w14:paraId="0C810CCA" w14:textId="77777777" w:rsidR="008877AF" w:rsidRPr="00F25B36" w:rsidRDefault="008877AF" w:rsidP="00F25B36">
            <w:pPr>
              <w:pStyle w:val="ListParagraph"/>
              <w:numPr>
                <w:ilvl w:val="0"/>
                <w:numId w:val="33"/>
              </w:numPr>
              <w:rPr>
                <w:bCs/>
                <w:color w:val="FF0000"/>
                <w:szCs w:val="20"/>
              </w:rPr>
            </w:pPr>
            <w:r w:rsidRPr="00F25B36">
              <w:rPr>
                <w:bCs/>
                <w:color w:val="FF0000"/>
                <w:szCs w:val="20"/>
              </w:rPr>
              <w:t>Comment 1</w:t>
            </w:r>
          </w:p>
          <w:p w14:paraId="369DEEE8" w14:textId="4DD45E86" w:rsidR="008877AF" w:rsidRPr="00F25B36" w:rsidRDefault="008877AF" w:rsidP="00F25B36">
            <w:pPr>
              <w:pStyle w:val="ListParagraph"/>
              <w:numPr>
                <w:ilvl w:val="0"/>
                <w:numId w:val="33"/>
              </w:numPr>
              <w:rPr>
                <w:bCs/>
                <w:color w:val="FF0000"/>
                <w:szCs w:val="20"/>
              </w:rPr>
            </w:pPr>
            <w:r w:rsidRPr="00F25B36">
              <w:rPr>
                <w:bCs/>
                <w:color w:val="FF0000"/>
                <w:szCs w:val="20"/>
              </w:rPr>
              <w:t>Comment 2</w:t>
            </w:r>
          </w:p>
        </w:tc>
        <w:tc>
          <w:tcPr>
            <w:tcW w:w="1634" w:type="pct"/>
          </w:tcPr>
          <w:p w14:paraId="32C2B4F3" w14:textId="77777777" w:rsidR="008877AF" w:rsidRDefault="008877AF" w:rsidP="00F25B36">
            <w:pPr>
              <w:pStyle w:val="ListParagraph"/>
              <w:numPr>
                <w:ilvl w:val="0"/>
                <w:numId w:val="33"/>
              </w:numPr>
              <w:rPr>
                <w:bCs/>
                <w:color w:val="FF0000"/>
                <w:szCs w:val="20"/>
              </w:rPr>
            </w:pPr>
            <w:r>
              <w:rPr>
                <w:bCs/>
                <w:color w:val="FF0000"/>
                <w:szCs w:val="20"/>
              </w:rPr>
              <w:t>Response 1</w:t>
            </w:r>
          </w:p>
          <w:p w14:paraId="1ECCFDB6" w14:textId="30BE64FD" w:rsidR="008877AF" w:rsidRPr="00F25B36" w:rsidRDefault="008877AF" w:rsidP="00F25B36">
            <w:pPr>
              <w:pStyle w:val="ListParagraph"/>
              <w:numPr>
                <w:ilvl w:val="0"/>
                <w:numId w:val="33"/>
              </w:numPr>
              <w:rPr>
                <w:bCs/>
                <w:color w:val="FF0000"/>
                <w:szCs w:val="20"/>
              </w:rPr>
            </w:pPr>
            <w:r>
              <w:rPr>
                <w:bCs/>
                <w:color w:val="FF0000"/>
                <w:szCs w:val="20"/>
              </w:rPr>
              <w:t>Response 2</w:t>
            </w:r>
          </w:p>
        </w:tc>
      </w:tr>
      <w:tr w:rsidR="008877AF" w:rsidRPr="00500C4E" w14:paraId="69D073CD" w14:textId="392DFDA5" w:rsidTr="00BA5FE4">
        <w:trPr>
          <w:trHeight w:val="20"/>
        </w:trPr>
        <w:tc>
          <w:tcPr>
            <w:tcW w:w="280" w:type="pct"/>
          </w:tcPr>
          <w:p w14:paraId="19E0D6ED" w14:textId="72A4A0EC" w:rsidR="008877AF" w:rsidRPr="00EE4120" w:rsidRDefault="008877AF" w:rsidP="00197D77">
            <w:pPr>
              <w:rPr>
                <w:color w:val="FF0000"/>
              </w:rPr>
            </w:pPr>
            <w:r w:rsidRPr="00EE4120">
              <w:rPr>
                <w:color w:val="FF0000"/>
              </w:rPr>
              <w:t>0</w:t>
            </w:r>
          </w:p>
        </w:tc>
        <w:tc>
          <w:tcPr>
            <w:tcW w:w="351" w:type="pct"/>
          </w:tcPr>
          <w:p w14:paraId="71879172" w14:textId="1971ED5C" w:rsidR="008877AF" w:rsidRPr="00EE4120" w:rsidRDefault="008877AF" w:rsidP="00197D77">
            <w:pPr>
              <w:autoSpaceDE w:val="0"/>
              <w:autoSpaceDN w:val="0"/>
              <w:adjustRightInd w:val="0"/>
              <w:rPr>
                <w:color w:val="FF0000"/>
                <w:szCs w:val="20"/>
              </w:rPr>
            </w:pPr>
            <w:r w:rsidRPr="00EE4120">
              <w:rPr>
                <w:color w:val="FF0000"/>
                <w:szCs w:val="20"/>
              </w:rPr>
              <w:t>Cal TF</w:t>
            </w:r>
          </w:p>
        </w:tc>
        <w:tc>
          <w:tcPr>
            <w:tcW w:w="548" w:type="pct"/>
          </w:tcPr>
          <w:p w14:paraId="61A20ED3" w14:textId="6F79F43D" w:rsidR="008877AF" w:rsidRPr="00EE4120" w:rsidRDefault="008877AF" w:rsidP="00197D77">
            <w:pPr>
              <w:autoSpaceDE w:val="0"/>
              <w:autoSpaceDN w:val="0"/>
              <w:adjustRightInd w:val="0"/>
              <w:rPr>
                <w:color w:val="FF0000"/>
                <w:szCs w:val="20"/>
              </w:rPr>
            </w:pPr>
            <w:r>
              <w:rPr>
                <w:bCs/>
                <w:color w:val="FF0000"/>
                <w:szCs w:val="20"/>
              </w:rPr>
              <w:t>6/2</w:t>
            </w:r>
            <w:r w:rsidRPr="00EE4120">
              <w:rPr>
                <w:bCs/>
                <w:color w:val="FF0000"/>
                <w:szCs w:val="20"/>
              </w:rPr>
              <w:t>/15</w:t>
            </w:r>
          </w:p>
        </w:tc>
        <w:tc>
          <w:tcPr>
            <w:tcW w:w="552" w:type="pct"/>
          </w:tcPr>
          <w:p w14:paraId="211F8E7E" w14:textId="40093C38" w:rsidR="008877AF" w:rsidRPr="00EE4120" w:rsidRDefault="008877AF" w:rsidP="00197D77">
            <w:pPr>
              <w:rPr>
                <w:color w:val="FF0000"/>
                <w:szCs w:val="20"/>
              </w:rPr>
            </w:pPr>
            <w:r w:rsidRPr="00EE4120">
              <w:rPr>
                <w:color w:val="FF0000"/>
                <w:szCs w:val="20"/>
              </w:rPr>
              <w:t>6/15/15</w:t>
            </w:r>
          </w:p>
        </w:tc>
        <w:tc>
          <w:tcPr>
            <w:tcW w:w="1634" w:type="pct"/>
          </w:tcPr>
          <w:p w14:paraId="21A74906" w14:textId="77777777" w:rsidR="008877AF" w:rsidRPr="00F25B36" w:rsidRDefault="008877AF" w:rsidP="00F25B36">
            <w:pPr>
              <w:pStyle w:val="ListParagraph"/>
              <w:numPr>
                <w:ilvl w:val="0"/>
                <w:numId w:val="34"/>
              </w:numPr>
              <w:rPr>
                <w:bCs/>
                <w:color w:val="FF0000"/>
                <w:szCs w:val="20"/>
              </w:rPr>
            </w:pPr>
            <w:r w:rsidRPr="00F25B36">
              <w:rPr>
                <w:bCs/>
                <w:color w:val="FF0000"/>
                <w:szCs w:val="20"/>
              </w:rPr>
              <w:t>Comment 1</w:t>
            </w:r>
          </w:p>
          <w:p w14:paraId="52AA4972" w14:textId="51DFA9C7" w:rsidR="008877AF" w:rsidRPr="00F25B36" w:rsidRDefault="008877AF" w:rsidP="00F25B36">
            <w:pPr>
              <w:pStyle w:val="ListParagraph"/>
              <w:numPr>
                <w:ilvl w:val="0"/>
                <w:numId w:val="34"/>
              </w:numPr>
              <w:rPr>
                <w:bCs/>
                <w:color w:val="FF0000"/>
                <w:szCs w:val="20"/>
              </w:rPr>
            </w:pPr>
            <w:r w:rsidRPr="00F25B36">
              <w:rPr>
                <w:bCs/>
                <w:color w:val="FF0000"/>
                <w:szCs w:val="20"/>
              </w:rPr>
              <w:t>Comment 2</w:t>
            </w:r>
          </w:p>
        </w:tc>
        <w:tc>
          <w:tcPr>
            <w:tcW w:w="1634" w:type="pct"/>
          </w:tcPr>
          <w:p w14:paraId="3B61B18C" w14:textId="77777777" w:rsidR="008877AF" w:rsidRDefault="008877AF" w:rsidP="008877AF">
            <w:pPr>
              <w:pStyle w:val="ListParagraph"/>
              <w:numPr>
                <w:ilvl w:val="0"/>
                <w:numId w:val="34"/>
              </w:numPr>
              <w:rPr>
                <w:bCs/>
                <w:color w:val="FF0000"/>
                <w:szCs w:val="20"/>
              </w:rPr>
            </w:pPr>
            <w:r>
              <w:rPr>
                <w:bCs/>
                <w:color w:val="FF0000"/>
                <w:szCs w:val="20"/>
              </w:rPr>
              <w:t>Response 1</w:t>
            </w:r>
          </w:p>
          <w:p w14:paraId="34686434" w14:textId="2DE52A3E" w:rsidR="008877AF" w:rsidRPr="00F25B36" w:rsidRDefault="008877AF" w:rsidP="008877AF">
            <w:pPr>
              <w:pStyle w:val="ListParagraph"/>
              <w:numPr>
                <w:ilvl w:val="0"/>
                <w:numId w:val="34"/>
              </w:numPr>
              <w:rPr>
                <w:bCs/>
                <w:color w:val="FF0000"/>
                <w:szCs w:val="20"/>
              </w:rPr>
            </w:pPr>
            <w:r>
              <w:rPr>
                <w:bCs/>
                <w:color w:val="FF0000"/>
                <w:szCs w:val="20"/>
              </w:rPr>
              <w:t>Response 2</w:t>
            </w:r>
          </w:p>
        </w:tc>
      </w:tr>
      <w:tr w:rsidR="008877AF" w:rsidRPr="00500C4E" w14:paraId="3150CD9E" w14:textId="23D900C0" w:rsidTr="00BA5FE4">
        <w:trPr>
          <w:trHeight w:val="20"/>
        </w:trPr>
        <w:tc>
          <w:tcPr>
            <w:tcW w:w="280" w:type="pct"/>
          </w:tcPr>
          <w:p w14:paraId="20476F36" w14:textId="7C427F22" w:rsidR="008877AF" w:rsidRPr="002A1843" w:rsidRDefault="008877AF" w:rsidP="00197D77"/>
        </w:tc>
        <w:tc>
          <w:tcPr>
            <w:tcW w:w="351" w:type="pct"/>
          </w:tcPr>
          <w:p w14:paraId="6F821B8B" w14:textId="77777777" w:rsidR="008877AF" w:rsidRPr="002A1843" w:rsidRDefault="008877AF" w:rsidP="00197D77">
            <w:pPr>
              <w:autoSpaceDE w:val="0"/>
              <w:autoSpaceDN w:val="0"/>
              <w:adjustRightInd w:val="0"/>
              <w:rPr>
                <w:szCs w:val="20"/>
              </w:rPr>
            </w:pPr>
          </w:p>
        </w:tc>
        <w:tc>
          <w:tcPr>
            <w:tcW w:w="548" w:type="pct"/>
          </w:tcPr>
          <w:p w14:paraId="6D6794C9" w14:textId="77777777" w:rsidR="008877AF" w:rsidRPr="002A1843" w:rsidRDefault="008877AF" w:rsidP="00197D77">
            <w:pPr>
              <w:autoSpaceDE w:val="0"/>
              <w:autoSpaceDN w:val="0"/>
              <w:adjustRightInd w:val="0"/>
              <w:rPr>
                <w:szCs w:val="20"/>
              </w:rPr>
            </w:pPr>
          </w:p>
        </w:tc>
        <w:tc>
          <w:tcPr>
            <w:tcW w:w="552" w:type="pct"/>
          </w:tcPr>
          <w:p w14:paraId="39C3D570" w14:textId="77777777" w:rsidR="008877AF" w:rsidRPr="002A1843" w:rsidRDefault="008877AF" w:rsidP="00197D77">
            <w:pPr>
              <w:rPr>
                <w:szCs w:val="20"/>
              </w:rPr>
            </w:pPr>
          </w:p>
        </w:tc>
        <w:tc>
          <w:tcPr>
            <w:tcW w:w="1634" w:type="pct"/>
          </w:tcPr>
          <w:p w14:paraId="28DFEB40" w14:textId="77777777" w:rsidR="008877AF" w:rsidRPr="002A1843" w:rsidRDefault="008877AF" w:rsidP="00197D77">
            <w:pPr>
              <w:rPr>
                <w:bCs/>
                <w:szCs w:val="20"/>
              </w:rPr>
            </w:pPr>
          </w:p>
        </w:tc>
        <w:tc>
          <w:tcPr>
            <w:tcW w:w="1634" w:type="pct"/>
          </w:tcPr>
          <w:p w14:paraId="56FE81C4" w14:textId="77777777" w:rsidR="008877AF" w:rsidRPr="002A1843" w:rsidRDefault="008877AF" w:rsidP="00197D77">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7EF24D16" w:rsidR="00DA2822" w:rsidRDefault="008877AF" w:rsidP="00BA5FE4">
      <w:pPr>
        <w:spacing w:line="276" w:lineRule="auto"/>
        <w:rPr>
          <w:rFonts w:cs="Arial"/>
          <w:b/>
          <w:bCs/>
          <w:smallCaps/>
          <w:kern w:val="32"/>
          <w:sz w:val="36"/>
          <w:szCs w:val="20"/>
        </w:rPr>
      </w:pPr>
      <w:r w:rsidRPr="00BA5FE4">
        <w:rPr>
          <w:color w:val="FF0000"/>
          <w:sz w:val="20"/>
          <w:szCs w:val="20"/>
        </w:rPr>
        <w:t xml:space="preserve">The Cal TF approved the version </w:t>
      </w:r>
      <w:r w:rsidRPr="008877AF">
        <w:rPr>
          <w:color w:val="FF0000"/>
          <w:sz w:val="20"/>
          <w:szCs w:val="20"/>
        </w:rPr>
        <w:t xml:space="preserve">X </w:t>
      </w:r>
      <w:r w:rsidRPr="00BA5FE4">
        <w:rPr>
          <w:color w:val="FF0000"/>
          <w:sz w:val="20"/>
          <w:szCs w:val="20"/>
        </w:rPr>
        <w:t xml:space="preserve">of this </w:t>
      </w:r>
      <w:r w:rsidRPr="00523597">
        <w:rPr>
          <w:color w:val="FF0000"/>
          <w:sz w:val="20"/>
          <w:szCs w:val="20"/>
        </w:rPr>
        <w:t xml:space="preserve">workpaper found under the “Approved Measures” section of the website, </w:t>
      </w:r>
      <w:hyperlink r:id="rId15" w:history="1">
        <w:r w:rsidRPr="00523597">
          <w:rPr>
            <w:rStyle w:val="Hyperlink"/>
            <w:color w:val="FF0000"/>
            <w:sz w:val="20"/>
            <w:szCs w:val="20"/>
          </w:rPr>
          <w:t>http://www.caltf.org/approved-measures/</w:t>
        </w:r>
      </w:hyperlink>
      <w:r w:rsidRPr="00BA5FE4">
        <w:rPr>
          <w:color w:val="FF000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07845339" w14:textId="003C1289" w:rsidR="001D3223" w:rsidRPr="00800706" w:rsidRDefault="001D3223" w:rsidP="001D3223">
      <w:pPr>
        <w:pStyle w:val="Reminders"/>
        <w:tabs>
          <w:tab w:val="num" w:pos="360"/>
        </w:tabs>
        <w:rPr>
          <w:rFonts w:asciiTheme="minorHAnsi" w:hAnsiTheme="minorHAnsi" w:cstheme="minorHAnsi"/>
          <w:i w:val="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9A0E11" w:rsidRDefault="005720F2" w:rsidP="00920905">
            <w:pPr>
              <w:pStyle w:val="Reminders"/>
              <w:tabs>
                <w:tab w:val="num" w:pos="360"/>
              </w:tabs>
              <w:spacing w:before="0" w:after="0"/>
              <w:rPr>
                <w:rFonts w:asciiTheme="minorHAnsi" w:hAnsiTheme="minorHAnsi" w:cs="Arial"/>
                <w:b/>
                <w:i w:val="0"/>
                <w:color w:val="auto"/>
                <w:szCs w:val="20"/>
              </w:rPr>
            </w:pPr>
            <w:r w:rsidRPr="009A0E11">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A0E11" w:rsidRDefault="005720F2" w:rsidP="00920905">
            <w:pPr>
              <w:pStyle w:val="Reminders"/>
              <w:tabs>
                <w:tab w:val="num" w:pos="360"/>
              </w:tabs>
              <w:spacing w:before="0" w:after="0"/>
              <w:rPr>
                <w:rFonts w:asciiTheme="minorHAnsi" w:hAnsiTheme="minorHAnsi" w:cstheme="minorHAnsi"/>
                <w:b/>
                <w:i w:val="0"/>
                <w:color w:val="auto"/>
                <w:szCs w:val="20"/>
              </w:rPr>
            </w:pPr>
            <w:r w:rsidRPr="009A0E11">
              <w:rPr>
                <w:rFonts w:asciiTheme="minorHAnsi" w:hAnsiTheme="minorHAnsi" w:cstheme="minorHAnsi"/>
                <w:b/>
                <w:i w:val="0"/>
                <w:color w:val="auto"/>
                <w:szCs w:val="20"/>
              </w:rPr>
              <w:t>Description</w:t>
            </w:r>
            <w:r w:rsidR="00680934" w:rsidRPr="009A0E11">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A0E11" w:rsidRDefault="00D85F09" w:rsidP="00920905">
            <w:pPr>
              <w:pStyle w:val="Reminders"/>
              <w:tabs>
                <w:tab w:val="num" w:pos="360"/>
              </w:tabs>
              <w:spacing w:before="0" w:after="0"/>
              <w:rPr>
                <w:rFonts w:asciiTheme="minorHAnsi" w:hAnsiTheme="minorHAnsi" w:cstheme="minorHAnsi"/>
                <w:i w:val="0"/>
                <w:color w:val="auto"/>
                <w:szCs w:val="22"/>
              </w:rPr>
            </w:pPr>
            <w:r w:rsidRPr="009A0E11">
              <w:rPr>
                <w:rFonts w:asciiTheme="minorHAnsi" w:hAnsiTheme="minorHAnsi" w:cs="Arial"/>
                <w:i w:val="0"/>
                <w:color w:val="auto"/>
                <w:szCs w:val="20"/>
              </w:rPr>
              <w:t>Measure</w:t>
            </w:r>
          </w:p>
        </w:tc>
        <w:tc>
          <w:tcPr>
            <w:tcW w:w="3498" w:type="pct"/>
          </w:tcPr>
          <w:p w14:paraId="5BFB3C97" w14:textId="3DA26F5C" w:rsidR="00D85F09" w:rsidRPr="009A0E11" w:rsidRDefault="009A0E11" w:rsidP="00920905">
            <w:pPr>
              <w:rPr>
                <w:szCs w:val="20"/>
              </w:rPr>
            </w:pPr>
            <w:r w:rsidRPr="009A0E11">
              <w:rPr>
                <w:szCs w:val="20"/>
              </w:rPr>
              <w:t>NEMA Premium Efficiency Motors, 50 HP to 500 HP</w:t>
            </w:r>
          </w:p>
        </w:tc>
      </w:tr>
      <w:tr w:rsidR="00D85F09" w:rsidRPr="00800706" w14:paraId="1C9532C6" w14:textId="77777777" w:rsidTr="00920905">
        <w:trPr>
          <w:trHeight w:val="20"/>
        </w:trPr>
        <w:tc>
          <w:tcPr>
            <w:tcW w:w="1502" w:type="pct"/>
          </w:tcPr>
          <w:p w14:paraId="33E87E80" w14:textId="1EC944A8" w:rsidR="00D85F09" w:rsidRPr="009A0E11" w:rsidRDefault="00786E92" w:rsidP="00920905">
            <w:pPr>
              <w:pStyle w:val="Reminders"/>
              <w:tabs>
                <w:tab w:val="num" w:pos="360"/>
              </w:tabs>
              <w:spacing w:before="0" w:after="0"/>
              <w:rPr>
                <w:rFonts w:asciiTheme="minorHAnsi" w:hAnsiTheme="minorHAnsi" w:cstheme="minorHAnsi"/>
                <w:i w:val="0"/>
                <w:color w:val="auto"/>
                <w:szCs w:val="22"/>
              </w:rPr>
            </w:pPr>
            <w:r w:rsidRPr="009A0E11">
              <w:rPr>
                <w:rFonts w:asciiTheme="minorHAnsi" w:hAnsiTheme="minorHAnsi" w:cs="Arial"/>
                <w:i w:val="0"/>
                <w:color w:val="auto"/>
                <w:szCs w:val="20"/>
              </w:rPr>
              <w:t>Existing Condition</w:t>
            </w:r>
          </w:p>
        </w:tc>
        <w:tc>
          <w:tcPr>
            <w:tcW w:w="3498" w:type="pct"/>
          </w:tcPr>
          <w:p w14:paraId="7949BAEE" w14:textId="01C6AB33" w:rsidR="00D85F09" w:rsidRPr="009A0E11" w:rsidRDefault="009A0E11" w:rsidP="00920905">
            <w:pPr>
              <w:rPr>
                <w:i/>
                <w:szCs w:val="20"/>
              </w:rPr>
            </w:pPr>
            <w:r w:rsidRPr="009A0E11">
              <w:rPr>
                <w:szCs w:val="20"/>
              </w:rPr>
              <w:t>Rewound NEMA Energy Efficient Rated Motors, 50 HP to 500 HP</w:t>
            </w:r>
          </w:p>
        </w:tc>
      </w:tr>
      <w:tr w:rsidR="002344FB" w:rsidRPr="00800706" w14:paraId="7FF41B99" w14:textId="77777777" w:rsidTr="006F21E8">
        <w:trPr>
          <w:trHeight w:val="20"/>
        </w:trPr>
        <w:tc>
          <w:tcPr>
            <w:tcW w:w="1502" w:type="pct"/>
          </w:tcPr>
          <w:p w14:paraId="19934728" w14:textId="52D3BBF6" w:rsidR="002344FB" w:rsidRPr="009A0E11" w:rsidRDefault="002344FB">
            <w:pPr>
              <w:pStyle w:val="Reminders"/>
              <w:tabs>
                <w:tab w:val="num" w:pos="360"/>
              </w:tabs>
              <w:spacing w:before="0" w:after="0"/>
              <w:rPr>
                <w:rFonts w:asciiTheme="minorHAnsi" w:hAnsiTheme="minorHAnsi" w:cs="Arial"/>
                <w:i w:val="0"/>
                <w:color w:val="auto"/>
                <w:szCs w:val="20"/>
              </w:rPr>
            </w:pPr>
            <w:r w:rsidRPr="009A0E11">
              <w:rPr>
                <w:rFonts w:asciiTheme="minorHAnsi" w:hAnsiTheme="minorHAnsi" w:cs="Arial"/>
                <w:i w:val="0"/>
                <w:color w:val="auto"/>
                <w:szCs w:val="20"/>
              </w:rPr>
              <w:t>Code/Standard</w:t>
            </w:r>
          </w:p>
        </w:tc>
        <w:tc>
          <w:tcPr>
            <w:tcW w:w="3498" w:type="pct"/>
          </w:tcPr>
          <w:p w14:paraId="421D7A92" w14:textId="4C2FDA3C" w:rsidR="002344FB" w:rsidRPr="009A0E11" w:rsidRDefault="009A0E11">
            <w:pPr>
              <w:rPr>
                <w:szCs w:val="20"/>
              </w:rPr>
            </w:pPr>
            <w:r w:rsidRPr="009A0E11">
              <w:rPr>
                <w:szCs w:val="20"/>
              </w:rPr>
              <w:t>NEMA Premium Efficiency Motors, 50 HP to 500 HP</w:t>
            </w:r>
          </w:p>
        </w:tc>
      </w:tr>
      <w:tr w:rsidR="00D85F09" w:rsidRPr="00800706" w14:paraId="05B54372" w14:textId="77777777" w:rsidTr="00920905">
        <w:trPr>
          <w:trHeight w:val="20"/>
        </w:trPr>
        <w:tc>
          <w:tcPr>
            <w:tcW w:w="1502" w:type="pct"/>
          </w:tcPr>
          <w:p w14:paraId="74307EFB" w14:textId="5792FB0B" w:rsidR="00D85F09" w:rsidRPr="009A0E11" w:rsidRDefault="005720F2" w:rsidP="00920905">
            <w:pPr>
              <w:pStyle w:val="Reminders"/>
              <w:tabs>
                <w:tab w:val="num" w:pos="360"/>
              </w:tabs>
              <w:spacing w:before="0" w:after="0"/>
              <w:rPr>
                <w:rFonts w:asciiTheme="minorHAnsi" w:hAnsiTheme="minorHAnsi" w:cstheme="minorHAnsi"/>
                <w:i w:val="0"/>
                <w:color w:val="auto"/>
                <w:szCs w:val="22"/>
              </w:rPr>
            </w:pPr>
            <w:r w:rsidRPr="009A0E11">
              <w:rPr>
                <w:rFonts w:asciiTheme="minorHAnsi" w:hAnsiTheme="minorHAnsi" w:cs="Arial"/>
                <w:i w:val="0"/>
                <w:color w:val="auto"/>
                <w:szCs w:val="20"/>
              </w:rPr>
              <w:t>Industry Standard Practice</w:t>
            </w:r>
          </w:p>
        </w:tc>
        <w:tc>
          <w:tcPr>
            <w:tcW w:w="3498" w:type="pct"/>
          </w:tcPr>
          <w:p w14:paraId="03844E1C" w14:textId="28D85418" w:rsidR="00D85F09" w:rsidRPr="009A0E11" w:rsidRDefault="009A0E11" w:rsidP="00920905">
            <w:pPr>
              <w:rPr>
                <w:i/>
                <w:szCs w:val="20"/>
              </w:rPr>
            </w:pPr>
            <w:r w:rsidRPr="009A0E11">
              <w:rPr>
                <w:szCs w:val="20"/>
              </w:rPr>
              <w:t>Rewound NEMA Energy Efficient Rated Motors, 50 HP to 500 HP</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5E96AA91" w:rsidR="00572D2F" w:rsidRPr="00920905" w:rsidRDefault="00572D2F" w:rsidP="00397406">
            <w:pPr>
              <w:rPr>
                <w:rFonts w:cstheme="minorHAnsi"/>
                <w:color w:val="FF0000"/>
                <w:szCs w:val="20"/>
              </w:rPr>
            </w:pPr>
          </w:p>
        </w:tc>
        <w:tc>
          <w:tcPr>
            <w:tcW w:w="673" w:type="pct"/>
          </w:tcPr>
          <w:p w14:paraId="311A1841" w14:textId="4743DD8C" w:rsidR="00572D2F" w:rsidRPr="00920905" w:rsidRDefault="005F1962" w:rsidP="005729C8">
            <w:pPr>
              <w:rPr>
                <w:rFonts w:cstheme="minorHAnsi"/>
                <w:color w:val="FF0000"/>
                <w:szCs w:val="20"/>
              </w:rPr>
            </w:pPr>
            <w:r w:rsidRPr="005F1962">
              <w:rPr>
                <w:rFonts w:cstheme="minorHAnsi"/>
                <w:szCs w:val="20"/>
              </w:rPr>
              <w:t>MT004</w:t>
            </w:r>
          </w:p>
        </w:tc>
        <w:tc>
          <w:tcPr>
            <w:tcW w:w="2644" w:type="pct"/>
          </w:tcPr>
          <w:p w14:paraId="512138E6" w14:textId="3BF594D2" w:rsidR="00572D2F" w:rsidRPr="00920905" w:rsidRDefault="005F1962">
            <w:pPr>
              <w:rPr>
                <w:color w:val="FF0000"/>
              </w:rPr>
            </w:pPr>
            <w:r>
              <w:t>NEMA PREMIUM EFFICIENCY MOTORS, 50 HP</w:t>
            </w:r>
          </w:p>
        </w:tc>
      </w:tr>
      <w:tr w:rsidR="000245B5" w:rsidRPr="00800706" w14:paraId="3EC8DDF0" w14:textId="77777777" w:rsidTr="00920905">
        <w:trPr>
          <w:trHeight w:val="243"/>
        </w:trPr>
        <w:tc>
          <w:tcPr>
            <w:tcW w:w="539" w:type="pct"/>
          </w:tcPr>
          <w:p w14:paraId="036611DE" w14:textId="77777777" w:rsidR="000245B5" w:rsidRPr="00350BF1" w:rsidRDefault="000245B5" w:rsidP="00397406">
            <w:pPr>
              <w:rPr>
                <w:rFonts w:cstheme="minorHAnsi"/>
                <w:szCs w:val="20"/>
              </w:rPr>
            </w:pPr>
          </w:p>
        </w:tc>
        <w:tc>
          <w:tcPr>
            <w:tcW w:w="539" w:type="pct"/>
          </w:tcPr>
          <w:p w14:paraId="7DC81BD5" w14:textId="77777777" w:rsidR="000245B5" w:rsidRPr="00350BF1" w:rsidRDefault="000245B5" w:rsidP="00397406">
            <w:pPr>
              <w:rPr>
                <w:rFonts w:cstheme="minorHAnsi"/>
                <w:szCs w:val="20"/>
              </w:rPr>
            </w:pPr>
          </w:p>
        </w:tc>
        <w:tc>
          <w:tcPr>
            <w:tcW w:w="605" w:type="pct"/>
          </w:tcPr>
          <w:p w14:paraId="00E0B555" w14:textId="77777777" w:rsidR="000245B5" w:rsidRPr="00350BF1" w:rsidRDefault="000245B5" w:rsidP="00397406">
            <w:pPr>
              <w:rPr>
                <w:rFonts w:cstheme="minorHAnsi"/>
                <w:szCs w:val="20"/>
              </w:rPr>
            </w:pPr>
          </w:p>
        </w:tc>
        <w:tc>
          <w:tcPr>
            <w:tcW w:w="673" w:type="pct"/>
          </w:tcPr>
          <w:p w14:paraId="479924EB" w14:textId="236D431B" w:rsidR="000245B5" w:rsidRPr="00350BF1" w:rsidRDefault="005F1962" w:rsidP="005729C8">
            <w:pPr>
              <w:rPr>
                <w:rFonts w:cstheme="minorHAnsi"/>
                <w:szCs w:val="20"/>
              </w:rPr>
            </w:pPr>
            <w:r>
              <w:rPr>
                <w:rFonts w:cstheme="minorHAnsi"/>
                <w:szCs w:val="20"/>
              </w:rPr>
              <w:t>MT005</w:t>
            </w:r>
          </w:p>
        </w:tc>
        <w:tc>
          <w:tcPr>
            <w:tcW w:w="2644" w:type="pct"/>
          </w:tcPr>
          <w:p w14:paraId="592A1733" w14:textId="4A84EB86" w:rsidR="000245B5" w:rsidRPr="00920905" w:rsidRDefault="005F1962" w:rsidP="005729C8">
            <w:r>
              <w:t>NEMA PREMIUM EFFICIENCY MOTORS, 60 HP</w:t>
            </w:r>
          </w:p>
        </w:tc>
      </w:tr>
      <w:tr w:rsidR="005F1962" w:rsidRPr="00800706" w14:paraId="3F111D7C" w14:textId="77777777" w:rsidTr="00920905">
        <w:trPr>
          <w:trHeight w:val="243"/>
        </w:trPr>
        <w:tc>
          <w:tcPr>
            <w:tcW w:w="539" w:type="pct"/>
          </w:tcPr>
          <w:p w14:paraId="6C2C173F" w14:textId="77777777" w:rsidR="005F1962" w:rsidRPr="00350BF1" w:rsidRDefault="005F1962" w:rsidP="00397406">
            <w:pPr>
              <w:rPr>
                <w:rFonts w:cstheme="minorHAnsi"/>
                <w:szCs w:val="20"/>
              </w:rPr>
            </w:pPr>
          </w:p>
        </w:tc>
        <w:tc>
          <w:tcPr>
            <w:tcW w:w="539" w:type="pct"/>
          </w:tcPr>
          <w:p w14:paraId="7284B96E" w14:textId="77777777" w:rsidR="005F1962" w:rsidRPr="00350BF1" w:rsidRDefault="005F1962" w:rsidP="00397406">
            <w:pPr>
              <w:rPr>
                <w:rFonts w:cstheme="minorHAnsi"/>
                <w:szCs w:val="20"/>
              </w:rPr>
            </w:pPr>
          </w:p>
        </w:tc>
        <w:tc>
          <w:tcPr>
            <w:tcW w:w="605" w:type="pct"/>
          </w:tcPr>
          <w:p w14:paraId="68CAA03A" w14:textId="77777777" w:rsidR="005F1962" w:rsidRPr="00350BF1" w:rsidRDefault="005F1962" w:rsidP="00397406">
            <w:pPr>
              <w:rPr>
                <w:rFonts w:cstheme="minorHAnsi"/>
                <w:szCs w:val="20"/>
              </w:rPr>
            </w:pPr>
          </w:p>
        </w:tc>
        <w:tc>
          <w:tcPr>
            <w:tcW w:w="673" w:type="pct"/>
          </w:tcPr>
          <w:p w14:paraId="4071C73C" w14:textId="31B41B02" w:rsidR="005F1962" w:rsidRPr="00350BF1" w:rsidRDefault="005F1962" w:rsidP="005729C8">
            <w:pPr>
              <w:rPr>
                <w:rFonts w:cstheme="minorHAnsi"/>
                <w:szCs w:val="20"/>
              </w:rPr>
            </w:pPr>
            <w:r>
              <w:rPr>
                <w:rFonts w:cstheme="minorHAnsi"/>
                <w:szCs w:val="20"/>
              </w:rPr>
              <w:t>MT006</w:t>
            </w:r>
          </w:p>
        </w:tc>
        <w:tc>
          <w:tcPr>
            <w:tcW w:w="2644" w:type="pct"/>
          </w:tcPr>
          <w:p w14:paraId="67F50D6E" w14:textId="76C83B86" w:rsidR="005F1962" w:rsidRPr="00920905" w:rsidRDefault="005F1962" w:rsidP="005F1962">
            <w:r>
              <w:t>N</w:t>
            </w:r>
            <w:r>
              <w:t>EMA PREMIUM EFFICIENCY MOTORS, 75</w:t>
            </w:r>
            <w:r>
              <w:t xml:space="preserve"> HP</w:t>
            </w:r>
          </w:p>
        </w:tc>
      </w:tr>
      <w:tr w:rsidR="005F1962" w:rsidRPr="00800706" w14:paraId="78E82889" w14:textId="77777777" w:rsidTr="00920905">
        <w:trPr>
          <w:trHeight w:val="243"/>
        </w:trPr>
        <w:tc>
          <w:tcPr>
            <w:tcW w:w="539" w:type="pct"/>
          </w:tcPr>
          <w:p w14:paraId="0EA506CD" w14:textId="77777777" w:rsidR="005F1962" w:rsidRPr="00350BF1" w:rsidRDefault="005F1962" w:rsidP="00397406">
            <w:pPr>
              <w:rPr>
                <w:rFonts w:cstheme="minorHAnsi"/>
                <w:szCs w:val="20"/>
              </w:rPr>
            </w:pPr>
          </w:p>
        </w:tc>
        <w:tc>
          <w:tcPr>
            <w:tcW w:w="539" w:type="pct"/>
          </w:tcPr>
          <w:p w14:paraId="6C029766" w14:textId="77777777" w:rsidR="005F1962" w:rsidRPr="00350BF1" w:rsidRDefault="005F1962" w:rsidP="00397406">
            <w:pPr>
              <w:rPr>
                <w:rFonts w:cstheme="minorHAnsi"/>
                <w:szCs w:val="20"/>
              </w:rPr>
            </w:pPr>
          </w:p>
        </w:tc>
        <w:tc>
          <w:tcPr>
            <w:tcW w:w="605" w:type="pct"/>
          </w:tcPr>
          <w:p w14:paraId="3A771559" w14:textId="77777777" w:rsidR="005F1962" w:rsidRPr="00350BF1" w:rsidRDefault="005F1962" w:rsidP="00397406">
            <w:pPr>
              <w:rPr>
                <w:rFonts w:cstheme="minorHAnsi"/>
                <w:szCs w:val="20"/>
              </w:rPr>
            </w:pPr>
          </w:p>
        </w:tc>
        <w:tc>
          <w:tcPr>
            <w:tcW w:w="673" w:type="pct"/>
          </w:tcPr>
          <w:p w14:paraId="057AC363" w14:textId="657CD80B" w:rsidR="005F1962" w:rsidRPr="00350BF1" w:rsidRDefault="005F1962" w:rsidP="005729C8">
            <w:pPr>
              <w:rPr>
                <w:rFonts w:cstheme="minorHAnsi"/>
                <w:szCs w:val="20"/>
              </w:rPr>
            </w:pPr>
            <w:r>
              <w:rPr>
                <w:rFonts w:cstheme="minorHAnsi"/>
                <w:szCs w:val="20"/>
              </w:rPr>
              <w:t>MT007</w:t>
            </w:r>
          </w:p>
        </w:tc>
        <w:tc>
          <w:tcPr>
            <w:tcW w:w="2644" w:type="pct"/>
          </w:tcPr>
          <w:p w14:paraId="51A66E74" w14:textId="4A16ABDC" w:rsidR="005F1962" w:rsidRPr="00920905" w:rsidRDefault="005F1962" w:rsidP="005729C8">
            <w:r>
              <w:t>NE</w:t>
            </w:r>
            <w:r>
              <w:t>MA PREMIUM EFFICIENCY MOTORS, 100</w:t>
            </w:r>
            <w:r>
              <w:t xml:space="preserve"> HP</w:t>
            </w:r>
          </w:p>
        </w:tc>
      </w:tr>
      <w:tr w:rsidR="005F1962" w:rsidRPr="00800706" w14:paraId="0A55F4DD" w14:textId="77777777" w:rsidTr="00920905">
        <w:trPr>
          <w:trHeight w:val="243"/>
        </w:trPr>
        <w:tc>
          <w:tcPr>
            <w:tcW w:w="539" w:type="pct"/>
          </w:tcPr>
          <w:p w14:paraId="7522EA02" w14:textId="77777777" w:rsidR="005F1962" w:rsidRDefault="005F1962" w:rsidP="00397406">
            <w:pPr>
              <w:rPr>
                <w:rFonts w:cstheme="minorHAnsi"/>
                <w:szCs w:val="20"/>
              </w:rPr>
            </w:pPr>
          </w:p>
        </w:tc>
        <w:tc>
          <w:tcPr>
            <w:tcW w:w="539" w:type="pct"/>
          </w:tcPr>
          <w:p w14:paraId="57783D65" w14:textId="77777777" w:rsidR="005F1962" w:rsidRPr="00350BF1" w:rsidRDefault="005F1962" w:rsidP="00397406">
            <w:pPr>
              <w:rPr>
                <w:rFonts w:cstheme="minorHAnsi"/>
                <w:szCs w:val="20"/>
              </w:rPr>
            </w:pPr>
          </w:p>
        </w:tc>
        <w:tc>
          <w:tcPr>
            <w:tcW w:w="605" w:type="pct"/>
          </w:tcPr>
          <w:p w14:paraId="3AD83078" w14:textId="77777777" w:rsidR="005F1962" w:rsidRPr="00350BF1" w:rsidRDefault="005F1962" w:rsidP="00397406">
            <w:pPr>
              <w:rPr>
                <w:rFonts w:cstheme="minorHAnsi"/>
                <w:szCs w:val="20"/>
              </w:rPr>
            </w:pPr>
          </w:p>
        </w:tc>
        <w:tc>
          <w:tcPr>
            <w:tcW w:w="673" w:type="pct"/>
          </w:tcPr>
          <w:p w14:paraId="12C85133" w14:textId="0179004E" w:rsidR="005F1962" w:rsidRPr="00350BF1" w:rsidRDefault="005F1962" w:rsidP="005729C8">
            <w:pPr>
              <w:rPr>
                <w:rFonts w:cstheme="minorHAnsi"/>
                <w:szCs w:val="20"/>
              </w:rPr>
            </w:pPr>
            <w:r>
              <w:rPr>
                <w:rFonts w:cstheme="minorHAnsi"/>
                <w:szCs w:val="20"/>
              </w:rPr>
              <w:t>MT008</w:t>
            </w:r>
          </w:p>
        </w:tc>
        <w:tc>
          <w:tcPr>
            <w:tcW w:w="2644" w:type="pct"/>
          </w:tcPr>
          <w:p w14:paraId="29DFD0B2" w14:textId="1D93F1AF" w:rsidR="005F1962" w:rsidRDefault="005F1962" w:rsidP="005729C8">
            <w:r>
              <w:t>NEMA PREMIU</w:t>
            </w:r>
            <w:r>
              <w:t>M EFFICIENCY MOTORS, 125</w:t>
            </w:r>
            <w:r>
              <w:t xml:space="preserve"> HP</w:t>
            </w:r>
          </w:p>
        </w:tc>
      </w:tr>
      <w:tr w:rsidR="005F1962" w:rsidRPr="00800706" w14:paraId="48E7C93A" w14:textId="77777777" w:rsidTr="00920905">
        <w:trPr>
          <w:trHeight w:val="243"/>
        </w:trPr>
        <w:tc>
          <w:tcPr>
            <w:tcW w:w="539" w:type="pct"/>
          </w:tcPr>
          <w:p w14:paraId="37FBD806" w14:textId="77777777" w:rsidR="005F1962" w:rsidRDefault="005F1962" w:rsidP="00397406">
            <w:pPr>
              <w:rPr>
                <w:rFonts w:cstheme="minorHAnsi"/>
                <w:szCs w:val="20"/>
              </w:rPr>
            </w:pPr>
          </w:p>
        </w:tc>
        <w:tc>
          <w:tcPr>
            <w:tcW w:w="539" w:type="pct"/>
          </w:tcPr>
          <w:p w14:paraId="539B420F" w14:textId="77777777" w:rsidR="005F1962" w:rsidRPr="00350BF1" w:rsidRDefault="005F1962" w:rsidP="00397406">
            <w:pPr>
              <w:rPr>
                <w:rFonts w:cstheme="minorHAnsi"/>
                <w:szCs w:val="20"/>
              </w:rPr>
            </w:pPr>
          </w:p>
        </w:tc>
        <w:tc>
          <w:tcPr>
            <w:tcW w:w="605" w:type="pct"/>
          </w:tcPr>
          <w:p w14:paraId="0642182A" w14:textId="77777777" w:rsidR="005F1962" w:rsidRPr="00350BF1" w:rsidRDefault="005F1962" w:rsidP="00397406">
            <w:pPr>
              <w:rPr>
                <w:rFonts w:cstheme="minorHAnsi"/>
                <w:szCs w:val="20"/>
              </w:rPr>
            </w:pPr>
          </w:p>
        </w:tc>
        <w:tc>
          <w:tcPr>
            <w:tcW w:w="673" w:type="pct"/>
          </w:tcPr>
          <w:p w14:paraId="30A5A726" w14:textId="1A0D6FCE" w:rsidR="005F1962" w:rsidRPr="00350BF1" w:rsidRDefault="005F1962" w:rsidP="005729C8">
            <w:pPr>
              <w:rPr>
                <w:rFonts w:cstheme="minorHAnsi"/>
                <w:szCs w:val="20"/>
              </w:rPr>
            </w:pPr>
            <w:r>
              <w:rPr>
                <w:rFonts w:cstheme="minorHAnsi"/>
                <w:szCs w:val="20"/>
              </w:rPr>
              <w:t>MT009</w:t>
            </w:r>
          </w:p>
        </w:tc>
        <w:tc>
          <w:tcPr>
            <w:tcW w:w="2644" w:type="pct"/>
          </w:tcPr>
          <w:p w14:paraId="5E0A36DE" w14:textId="38225642" w:rsidR="005F1962" w:rsidRDefault="005F1962" w:rsidP="005729C8">
            <w:r>
              <w:t>NE</w:t>
            </w:r>
            <w:r>
              <w:t>MA PREMIUM EFFICIENCY MOTORS, 150</w:t>
            </w:r>
            <w:r>
              <w:t xml:space="preserve"> HP</w:t>
            </w:r>
          </w:p>
        </w:tc>
      </w:tr>
      <w:tr w:rsidR="005F1962" w:rsidRPr="00800706" w14:paraId="49E554CE" w14:textId="77777777" w:rsidTr="00920905">
        <w:trPr>
          <w:trHeight w:val="243"/>
        </w:trPr>
        <w:tc>
          <w:tcPr>
            <w:tcW w:w="539" w:type="pct"/>
          </w:tcPr>
          <w:p w14:paraId="7F1F8318" w14:textId="77777777" w:rsidR="005F1962" w:rsidRDefault="005F1962" w:rsidP="00397406">
            <w:pPr>
              <w:rPr>
                <w:rFonts w:cstheme="minorHAnsi"/>
                <w:szCs w:val="20"/>
              </w:rPr>
            </w:pPr>
          </w:p>
        </w:tc>
        <w:tc>
          <w:tcPr>
            <w:tcW w:w="539" w:type="pct"/>
          </w:tcPr>
          <w:p w14:paraId="76F5256E" w14:textId="77777777" w:rsidR="005F1962" w:rsidRPr="00350BF1" w:rsidRDefault="005F1962" w:rsidP="00397406">
            <w:pPr>
              <w:rPr>
                <w:rFonts w:cstheme="minorHAnsi"/>
                <w:szCs w:val="20"/>
              </w:rPr>
            </w:pPr>
          </w:p>
        </w:tc>
        <w:tc>
          <w:tcPr>
            <w:tcW w:w="605" w:type="pct"/>
          </w:tcPr>
          <w:p w14:paraId="35A9D496" w14:textId="77777777" w:rsidR="005F1962" w:rsidRPr="00350BF1" w:rsidRDefault="005F1962" w:rsidP="00397406">
            <w:pPr>
              <w:rPr>
                <w:rFonts w:cstheme="minorHAnsi"/>
                <w:szCs w:val="20"/>
              </w:rPr>
            </w:pPr>
          </w:p>
        </w:tc>
        <w:tc>
          <w:tcPr>
            <w:tcW w:w="673" w:type="pct"/>
          </w:tcPr>
          <w:p w14:paraId="4F4D606C" w14:textId="1086DF8C" w:rsidR="005F1962" w:rsidRPr="00350BF1" w:rsidRDefault="005F1962" w:rsidP="005729C8">
            <w:pPr>
              <w:rPr>
                <w:rFonts w:cstheme="minorHAnsi"/>
                <w:szCs w:val="20"/>
              </w:rPr>
            </w:pPr>
            <w:r>
              <w:rPr>
                <w:rFonts w:cstheme="minorHAnsi"/>
                <w:szCs w:val="20"/>
              </w:rPr>
              <w:t>MT010</w:t>
            </w:r>
          </w:p>
        </w:tc>
        <w:tc>
          <w:tcPr>
            <w:tcW w:w="2644" w:type="pct"/>
          </w:tcPr>
          <w:p w14:paraId="6678F895" w14:textId="0C5E74FA" w:rsidR="005F1962" w:rsidRDefault="005F1962" w:rsidP="005729C8">
            <w:r>
              <w:t>NE</w:t>
            </w:r>
            <w:r>
              <w:t>MA PREMIUM EFFICIENCY MOTORS, 200</w:t>
            </w:r>
            <w:r>
              <w:t xml:space="preserve"> HP</w:t>
            </w:r>
          </w:p>
        </w:tc>
      </w:tr>
      <w:tr w:rsidR="005F1962" w:rsidRPr="00800706" w14:paraId="4987B624" w14:textId="77777777" w:rsidTr="00920905">
        <w:trPr>
          <w:trHeight w:val="243"/>
        </w:trPr>
        <w:tc>
          <w:tcPr>
            <w:tcW w:w="539" w:type="pct"/>
          </w:tcPr>
          <w:p w14:paraId="7DF33328" w14:textId="77777777" w:rsidR="005F1962" w:rsidRDefault="005F1962" w:rsidP="00397406">
            <w:pPr>
              <w:rPr>
                <w:rFonts w:cstheme="minorHAnsi"/>
                <w:szCs w:val="20"/>
              </w:rPr>
            </w:pPr>
          </w:p>
        </w:tc>
        <w:tc>
          <w:tcPr>
            <w:tcW w:w="539" w:type="pct"/>
          </w:tcPr>
          <w:p w14:paraId="75FE7AF1" w14:textId="77777777" w:rsidR="005F1962" w:rsidRPr="00350BF1" w:rsidRDefault="005F1962" w:rsidP="00397406">
            <w:pPr>
              <w:rPr>
                <w:rFonts w:cstheme="minorHAnsi"/>
                <w:szCs w:val="20"/>
              </w:rPr>
            </w:pPr>
          </w:p>
        </w:tc>
        <w:tc>
          <w:tcPr>
            <w:tcW w:w="605" w:type="pct"/>
          </w:tcPr>
          <w:p w14:paraId="3EBF61AB" w14:textId="77777777" w:rsidR="005F1962" w:rsidRPr="00350BF1" w:rsidRDefault="005F1962" w:rsidP="00397406">
            <w:pPr>
              <w:rPr>
                <w:rFonts w:cstheme="minorHAnsi"/>
                <w:szCs w:val="20"/>
              </w:rPr>
            </w:pPr>
          </w:p>
        </w:tc>
        <w:tc>
          <w:tcPr>
            <w:tcW w:w="673" w:type="pct"/>
          </w:tcPr>
          <w:p w14:paraId="4F12A92C" w14:textId="213AB532" w:rsidR="005F1962" w:rsidRPr="00350BF1" w:rsidRDefault="005F1962" w:rsidP="005729C8">
            <w:pPr>
              <w:rPr>
                <w:rFonts w:cstheme="minorHAnsi"/>
                <w:szCs w:val="20"/>
              </w:rPr>
            </w:pPr>
            <w:r>
              <w:rPr>
                <w:rFonts w:cstheme="minorHAnsi"/>
                <w:szCs w:val="20"/>
              </w:rPr>
              <w:t>MT011</w:t>
            </w:r>
          </w:p>
        </w:tc>
        <w:tc>
          <w:tcPr>
            <w:tcW w:w="2644" w:type="pct"/>
          </w:tcPr>
          <w:p w14:paraId="19F0E4D6" w14:textId="6C586196" w:rsidR="005F1962" w:rsidRDefault="005F1962" w:rsidP="005729C8">
            <w:r>
              <w:t>NE</w:t>
            </w:r>
            <w:r>
              <w:t>MA PREMIUM EFFICIENCY MOTORS, 250</w:t>
            </w:r>
            <w:r>
              <w:t xml:space="preserve"> HP</w:t>
            </w:r>
          </w:p>
        </w:tc>
      </w:tr>
      <w:tr w:rsidR="005F1962" w:rsidRPr="00800706" w14:paraId="7EEB8F11" w14:textId="77777777" w:rsidTr="00920905">
        <w:trPr>
          <w:trHeight w:val="243"/>
        </w:trPr>
        <w:tc>
          <w:tcPr>
            <w:tcW w:w="539" w:type="pct"/>
          </w:tcPr>
          <w:p w14:paraId="0D11F5C6" w14:textId="77777777" w:rsidR="005F1962" w:rsidRDefault="005F1962" w:rsidP="00397406">
            <w:pPr>
              <w:rPr>
                <w:rFonts w:cstheme="minorHAnsi"/>
                <w:szCs w:val="20"/>
              </w:rPr>
            </w:pPr>
          </w:p>
        </w:tc>
        <w:tc>
          <w:tcPr>
            <w:tcW w:w="539" w:type="pct"/>
          </w:tcPr>
          <w:p w14:paraId="050E6D4C" w14:textId="77777777" w:rsidR="005F1962" w:rsidRPr="00350BF1" w:rsidRDefault="005F1962" w:rsidP="00397406">
            <w:pPr>
              <w:rPr>
                <w:rFonts w:cstheme="minorHAnsi"/>
                <w:szCs w:val="20"/>
              </w:rPr>
            </w:pPr>
          </w:p>
        </w:tc>
        <w:tc>
          <w:tcPr>
            <w:tcW w:w="605" w:type="pct"/>
          </w:tcPr>
          <w:p w14:paraId="1583B136" w14:textId="77777777" w:rsidR="005F1962" w:rsidRPr="00350BF1" w:rsidRDefault="005F1962" w:rsidP="00397406">
            <w:pPr>
              <w:rPr>
                <w:rFonts w:cstheme="minorHAnsi"/>
                <w:szCs w:val="20"/>
              </w:rPr>
            </w:pPr>
          </w:p>
        </w:tc>
        <w:tc>
          <w:tcPr>
            <w:tcW w:w="673" w:type="pct"/>
          </w:tcPr>
          <w:p w14:paraId="78322BB9" w14:textId="6E330979" w:rsidR="005F1962" w:rsidRDefault="005F1962" w:rsidP="005729C8">
            <w:pPr>
              <w:rPr>
                <w:rFonts w:cstheme="minorHAnsi"/>
                <w:szCs w:val="20"/>
              </w:rPr>
            </w:pPr>
            <w:r>
              <w:rPr>
                <w:rFonts w:cstheme="minorHAnsi"/>
                <w:szCs w:val="20"/>
              </w:rPr>
              <w:t>MT012</w:t>
            </w:r>
          </w:p>
        </w:tc>
        <w:tc>
          <w:tcPr>
            <w:tcW w:w="2644" w:type="pct"/>
          </w:tcPr>
          <w:p w14:paraId="37C44082" w14:textId="3FB77E03" w:rsidR="005F1962" w:rsidRDefault="005F1962" w:rsidP="005729C8">
            <w:r>
              <w:t>NE</w:t>
            </w:r>
            <w:r>
              <w:t>MA PREMIUM EFFICIENCY MOTORS, 300</w:t>
            </w:r>
            <w:r>
              <w:t xml:space="preserve"> HP</w:t>
            </w:r>
          </w:p>
        </w:tc>
      </w:tr>
      <w:tr w:rsidR="005F1962" w:rsidRPr="00800706" w14:paraId="030326C4" w14:textId="77777777" w:rsidTr="00920905">
        <w:trPr>
          <w:trHeight w:val="243"/>
        </w:trPr>
        <w:tc>
          <w:tcPr>
            <w:tcW w:w="539" w:type="pct"/>
          </w:tcPr>
          <w:p w14:paraId="2DDC8932" w14:textId="77777777" w:rsidR="005F1962" w:rsidRDefault="005F1962" w:rsidP="00397406">
            <w:pPr>
              <w:rPr>
                <w:rFonts w:cstheme="minorHAnsi"/>
                <w:szCs w:val="20"/>
              </w:rPr>
            </w:pPr>
          </w:p>
        </w:tc>
        <w:tc>
          <w:tcPr>
            <w:tcW w:w="539" w:type="pct"/>
          </w:tcPr>
          <w:p w14:paraId="00880CF9" w14:textId="77777777" w:rsidR="005F1962" w:rsidRPr="00350BF1" w:rsidRDefault="005F1962" w:rsidP="00397406">
            <w:pPr>
              <w:rPr>
                <w:rFonts w:cstheme="minorHAnsi"/>
                <w:szCs w:val="20"/>
              </w:rPr>
            </w:pPr>
          </w:p>
        </w:tc>
        <w:tc>
          <w:tcPr>
            <w:tcW w:w="605" w:type="pct"/>
          </w:tcPr>
          <w:p w14:paraId="7E665CB5" w14:textId="77777777" w:rsidR="005F1962" w:rsidRPr="00350BF1" w:rsidRDefault="005F1962" w:rsidP="00397406">
            <w:pPr>
              <w:rPr>
                <w:rFonts w:cstheme="minorHAnsi"/>
                <w:szCs w:val="20"/>
              </w:rPr>
            </w:pPr>
          </w:p>
        </w:tc>
        <w:tc>
          <w:tcPr>
            <w:tcW w:w="673" w:type="pct"/>
          </w:tcPr>
          <w:p w14:paraId="37FF8B0F" w14:textId="36FF6A88" w:rsidR="005F1962" w:rsidRDefault="005F1962" w:rsidP="005729C8">
            <w:pPr>
              <w:rPr>
                <w:rFonts w:cstheme="minorHAnsi"/>
                <w:szCs w:val="20"/>
              </w:rPr>
            </w:pPr>
            <w:r>
              <w:rPr>
                <w:rFonts w:cstheme="minorHAnsi"/>
                <w:szCs w:val="20"/>
              </w:rPr>
              <w:t>MT013</w:t>
            </w:r>
          </w:p>
        </w:tc>
        <w:tc>
          <w:tcPr>
            <w:tcW w:w="2644" w:type="pct"/>
          </w:tcPr>
          <w:p w14:paraId="618694B1" w14:textId="3582B888" w:rsidR="005F1962" w:rsidRDefault="005F1962" w:rsidP="005729C8">
            <w:r>
              <w:t>NEM</w:t>
            </w:r>
            <w:r>
              <w:t xml:space="preserve">A PREMIUM EFFICIENCY MOTORS, 350 </w:t>
            </w:r>
            <w:r>
              <w:t>HP</w:t>
            </w:r>
          </w:p>
        </w:tc>
      </w:tr>
      <w:tr w:rsidR="005F1962" w:rsidRPr="00800706" w14:paraId="438D436B" w14:textId="77777777" w:rsidTr="00920905">
        <w:trPr>
          <w:trHeight w:val="243"/>
        </w:trPr>
        <w:tc>
          <w:tcPr>
            <w:tcW w:w="539" w:type="pct"/>
          </w:tcPr>
          <w:p w14:paraId="2AF2E63A" w14:textId="77777777" w:rsidR="005F1962" w:rsidRDefault="005F1962" w:rsidP="00397406">
            <w:pPr>
              <w:rPr>
                <w:rFonts w:cstheme="minorHAnsi"/>
                <w:szCs w:val="20"/>
              </w:rPr>
            </w:pPr>
          </w:p>
        </w:tc>
        <w:tc>
          <w:tcPr>
            <w:tcW w:w="539" w:type="pct"/>
          </w:tcPr>
          <w:p w14:paraId="4376FB51" w14:textId="77777777" w:rsidR="005F1962" w:rsidRPr="00350BF1" w:rsidRDefault="005F1962" w:rsidP="00397406">
            <w:pPr>
              <w:rPr>
                <w:rFonts w:cstheme="minorHAnsi"/>
                <w:szCs w:val="20"/>
              </w:rPr>
            </w:pPr>
          </w:p>
        </w:tc>
        <w:tc>
          <w:tcPr>
            <w:tcW w:w="605" w:type="pct"/>
          </w:tcPr>
          <w:p w14:paraId="46941E67" w14:textId="77777777" w:rsidR="005F1962" w:rsidRPr="00350BF1" w:rsidRDefault="005F1962" w:rsidP="00397406">
            <w:pPr>
              <w:rPr>
                <w:rFonts w:cstheme="minorHAnsi"/>
                <w:szCs w:val="20"/>
              </w:rPr>
            </w:pPr>
          </w:p>
        </w:tc>
        <w:tc>
          <w:tcPr>
            <w:tcW w:w="673" w:type="pct"/>
          </w:tcPr>
          <w:p w14:paraId="3B5F364D" w14:textId="7FA6BBBE" w:rsidR="005F1962" w:rsidRDefault="005F1962" w:rsidP="005729C8">
            <w:pPr>
              <w:rPr>
                <w:rFonts w:cstheme="minorHAnsi"/>
                <w:szCs w:val="20"/>
              </w:rPr>
            </w:pPr>
            <w:r>
              <w:rPr>
                <w:rFonts w:cstheme="minorHAnsi"/>
                <w:szCs w:val="20"/>
              </w:rPr>
              <w:t>MT014</w:t>
            </w:r>
          </w:p>
        </w:tc>
        <w:tc>
          <w:tcPr>
            <w:tcW w:w="2644" w:type="pct"/>
          </w:tcPr>
          <w:p w14:paraId="4EB2FC7E" w14:textId="7ACDADF7" w:rsidR="005F1962" w:rsidRDefault="005F1962" w:rsidP="005729C8">
            <w:r>
              <w:t>N</w:t>
            </w:r>
            <w:r>
              <w:t>EMA PREMIUM EFFICIENCY MOTORS, 400</w:t>
            </w:r>
            <w:r>
              <w:t xml:space="preserve"> HP</w:t>
            </w:r>
          </w:p>
        </w:tc>
      </w:tr>
      <w:tr w:rsidR="005F1962" w:rsidRPr="00800706" w14:paraId="72D58DED" w14:textId="77777777" w:rsidTr="00920905">
        <w:trPr>
          <w:trHeight w:val="243"/>
        </w:trPr>
        <w:tc>
          <w:tcPr>
            <w:tcW w:w="539" w:type="pct"/>
          </w:tcPr>
          <w:p w14:paraId="1D602AF4" w14:textId="77777777" w:rsidR="005F1962" w:rsidRDefault="005F1962" w:rsidP="00397406">
            <w:pPr>
              <w:rPr>
                <w:rFonts w:cstheme="minorHAnsi"/>
                <w:szCs w:val="20"/>
              </w:rPr>
            </w:pPr>
          </w:p>
        </w:tc>
        <w:tc>
          <w:tcPr>
            <w:tcW w:w="539" w:type="pct"/>
          </w:tcPr>
          <w:p w14:paraId="0D5C8645" w14:textId="77777777" w:rsidR="005F1962" w:rsidRPr="00350BF1" w:rsidRDefault="005F1962" w:rsidP="00397406">
            <w:pPr>
              <w:rPr>
                <w:rFonts w:cstheme="minorHAnsi"/>
                <w:szCs w:val="20"/>
              </w:rPr>
            </w:pPr>
          </w:p>
        </w:tc>
        <w:tc>
          <w:tcPr>
            <w:tcW w:w="605" w:type="pct"/>
          </w:tcPr>
          <w:p w14:paraId="3197BE50" w14:textId="77777777" w:rsidR="005F1962" w:rsidRPr="00350BF1" w:rsidRDefault="005F1962" w:rsidP="00397406">
            <w:pPr>
              <w:rPr>
                <w:rFonts w:cstheme="minorHAnsi"/>
                <w:szCs w:val="20"/>
              </w:rPr>
            </w:pPr>
          </w:p>
        </w:tc>
        <w:tc>
          <w:tcPr>
            <w:tcW w:w="673" w:type="pct"/>
          </w:tcPr>
          <w:p w14:paraId="256CD436" w14:textId="3A7D6E25" w:rsidR="005F1962" w:rsidRDefault="005F1962" w:rsidP="005729C8">
            <w:pPr>
              <w:rPr>
                <w:rFonts w:cstheme="minorHAnsi"/>
                <w:szCs w:val="20"/>
              </w:rPr>
            </w:pPr>
            <w:r>
              <w:rPr>
                <w:rFonts w:cstheme="minorHAnsi"/>
                <w:szCs w:val="20"/>
              </w:rPr>
              <w:t>MT015</w:t>
            </w:r>
          </w:p>
        </w:tc>
        <w:tc>
          <w:tcPr>
            <w:tcW w:w="2644" w:type="pct"/>
          </w:tcPr>
          <w:p w14:paraId="5B15EA97" w14:textId="2E2036FB" w:rsidR="005F1962" w:rsidRDefault="005F1962" w:rsidP="005729C8">
            <w:r>
              <w:t>NE</w:t>
            </w:r>
            <w:r>
              <w:t>MA PREMIUM EFFICIENCY MOTORS, 450</w:t>
            </w:r>
            <w:r>
              <w:t xml:space="preserve"> HP</w:t>
            </w:r>
          </w:p>
        </w:tc>
      </w:tr>
      <w:tr w:rsidR="005F1962" w:rsidRPr="00800706" w14:paraId="0D1E5907" w14:textId="77777777" w:rsidTr="00920905">
        <w:trPr>
          <w:trHeight w:val="243"/>
        </w:trPr>
        <w:tc>
          <w:tcPr>
            <w:tcW w:w="539" w:type="pct"/>
          </w:tcPr>
          <w:p w14:paraId="05B2AC98" w14:textId="77777777" w:rsidR="005F1962" w:rsidRDefault="005F1962" w:rsidP="00397406">
            <w:pPr>
              <w:rPr>
                <w:rFonts w:cstheme="minorHAnsi"/>
                <w:szCs w:val="20"/>
              </w:rPr>
            </w:pPr>
          </w:p>
        </w:tc>
        <w:tc>
          <w:tcPr>
            <w:tcW w:w="539" w:type="pct"/>
          </w:tcPr>
          <w:p w14:paraId="3294017C" w14:textId="77777777" w:rsidR="005F1962" w:rsidRPr="00350BF1" w:rsidRDefault="005F1962" w:rsidP="00397406">
            <w:pPr>
              <w:rPr>
                <w:rFonts w:cstheme="minorHAnsi"/>
                <w:szCs w:val="20"/>
              </w:rPr>
            </w:pPr>
          </w:p>
        </w:tc>
        <w:tc>
          <w:tcPr>
            <w:tcW w:w="605" w:type="pct"/>
          </w:tcPr>
          <w:p w14:paraId="7309C9B6" w14:textId="77777777" w:rsidR="005F1962" w:rsidRPr="00350BF1" w:rsidRDefault="005F1962" w:rsidP="00397406">
            <w:pPr>
              <w:rPr>
                <w:rFonts w:cstheme="minorHAnsi"/>
                <w:szCs w:val="20"/>
              </w:rPr>
            </w:pPr>
          </w:p>
        </w:tc>
        <w:tc>
          <w:tcPr>
            <w:tcW w:w="673" w:type="pct"/>
          </w:tcPr>
          <w:p w14:paraId="598C38E3" w14:textId="78F76086" w:rsidR="005F1962" w:rsidRDefault="005F1962" w:rsidP="005729C8">
            <w:pPr>
              <w:rPr>
                <w:rFonts w:cstheme="minorHAnsi"/>
                <w:szCs w:val="20"/>
              </w:rPr>
            </w:pPr>
            <w:r>
              <w:rPr>
                <w:rFonts w:cstheme="minorHAnsi"/>
                <w:szCs w:val="20"/>
              </w:rPr>
              <w:t>MT016</w:t>
            </w:r>
          </w:p>
        </w:tc>
        <w:tc>
          <w:tcPr>
            <w:tcW w:w="2644" w:type="pct"/>
          </w:tcPr>
          <w:p w14:paraId="736F3A59" w14:textId="42144F0B" w:rsidR="005F1962" w:rsidRDefault="005F1962" w:rsidP="005729C8">
            <w:r>
              <w:t>NE</w:t>
            </w:r>
            <w:r>
              <w:t>MA PREMIUM EFFICIENCY MOTORS, 500</w:t>
            </w:r>
            <w:r>
              <w:t xml:space="preserve"> HP</w:t>
            </w:r>
          </w:p>
        </w:tc>
      </w:tr>
    </w:tbl>
    <w:p w14:paraId="1A345B2E" w14:textId="77777777" w:rsidR="005F1962" w:rsidRDefault="005F1962" w:rsidP="005F1962">
      <w:pPr>
        <w:pStyle w:val="NoSpacing"/>
        <w:rPr>
          <w:b/>
        </w:rPr>
      </w:pPr>
    </w:p>
    <w:p w14:paraId="003F5232" w14:textId="4C6AB805" w:rsidR="00B823EB" w:rsidRPr="00086FBD" w:rsidRDefault="008E25B1" w:rsidP="005F1962">
      <w:pPr>
        <w:pStyle w:val="NoSpacing"/>
      </w:pPr>
      <w:r w:rsidRPr="00086FBD">
        <w:rPr>
          <w:b/>
        </w:rPr>
        <w:t>Eligibility r</w:t>
      </w:r>
      <w:r w:rsidR="00697868" w:rsidRPr="00086FBD">
        <w:rPr>
          <w:b/>
        </w:rPr>
        <w:t>equirements</w:t>
      </w:r>
    </w:p>
    <w:p w14:paraId="0D1735E1" w14:textId="25DAD6AA" w:rsidR="00B823EB" w:rsidRPr="00086FBD" w:rsidRDefault="00B823EB" w:rsidP="005F1962">
      <w:pPr>
        <w:pStyle w:val="NoSpacing"/>
        <w:numPr>
          <w:ilvl w:val="0"/>
          <w:numId w:val="38"/>
        </w:numPr>
        <w:ind w:left="720"/>
      </w:pPr>
      <w:r w:rsidRPr="00086FBD">
        <w:t>New motor must meet NEMA Premium Efficient specification and be &gt;= 50 hp and &lt;= 500 hp. Motor must b</w:t>
      </w:r>
      <w:r w:rsidR="00134D1D" w:rsidRPr="00086FBD">
        <w:t>e rated 600 volts or less and have 2, 4, or 6 poles.</w:t>
      </w:r>
    </w:p>
    <w:p w14:paraId="6A2A3EE0" w14:textId="38BC2D10" w:rsidR="00B823EB" w:rsidRPr="00086FBD" w:rsidRDefault="00B823EB" w:rsidP="005F1962">
      <w:pPr>
        <w:pStyle w:val="NoSpacing"/>
        <w:numPr>
          <w:ilvl w:val="0"/>
          <w:numId w:val="38"/>
        </w:numPr>
        <w:ind w:left="720"/>
      </w:pPr>
      <w:r w:rsidRPr="00086FBD">
        <w:t>Customer must submit verification (receipt) from recycling of old motor.</w:t>
      </w:r>
    </w:p>
    <w:p w14:paraId="1703D035" w14:textId="3BBD95F9" w:rsidR="00B823EB" w:rsidRPr="00086FBD" w:rsidRDefault="00B823EB" w:rsidP="005F1962">
      <w:pPr>
        <w:pStyle w:val="NoSpacing"/>
        <w:numPr>
          <w:ilvl w:val="0"/>
          <w:numId w:val="38"/>
        </w:numPr>
        <w:ind w:left="720"/>
      </w:pPr>
      <w:r w:rsidRPr="00086FBD">
        <w:t xml:space="preserve">Customer must submit invoice for new motor showing motor efficiency rating, motor horsepower, and model number.  </w:t>
      </w:r>
    </w:p>
    <w:p w14:paraId="78AE7441" w14:textId="77777777" w:rsidR="005F1962" w:rsidRDefault="005F1962" w:rsidP="005F1962">
      <w:pPr>
        <w:pStyle w:val="NoSpacing"/>
        <w:rPr>
          <w:b/>
        </w:rPr>
      </w:pPr>
    </w:p>
    <w:p w14:paraId="67D95CE5" w14:textId="18D07D5F" w:rsidR="00086FBD" w:rsidRDefault="00697868" w:rsidP="005F1962">
      <w:pPr>
        <w:pStyle w:val="NoSpacing"/>
      </w:pPr>
      <w:r w:rsidRPr="00086FBD">
        <w:rPr>
          <w:b/>
        </w:rPr>
        <w:t>Implementation</w:t>
      </w:r>
      <w:r w:rsidR="009844A1" w:rsidRPr="00086FBD">
        <w:rPr>
          <w:b/>
        </w:rPr>
        <w:t xml:space="preserve"> and installation</w:t>
      </w:r>
      <w:r w:rsidRPr="00086FBD">
        <w:rPr>
          <w:b/>
        </w:rPr>
        <w:t xml:space="preserve"> </w:t>
      </w:r>
      <w:r w:rsidR="008E25B1" w:rsidRPr="00086FBD">
        <w:rPr>
          <w:b/>
        </w:rPr>
        <w:t>r</w:t>
      </w:r>
      <w:r w:rsidRPr="00086FBD">
        <w:rPr>
          <w:b/>
        </w:rPr>
        <w:t>equirements</w:t>
      </w:r>
      <w:r w:rsidR="005F1962">
        <w:rPr>
          <w:b/>
        </w:rPr>
        <w:t xml:space="preserve">:  </w:t>
      </w:r>
      <w:r w:rsidR="00086FBD" w:rsidRPr="00086FBD">
        <w:t>This measure is applicable to all nonresidential building types.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585020DE" w:rsidR="00E16609" w:rsidRPr="002D21FC" w:rsidRDefault="002D21FC" w:rsidP="00697868">
      <w:pPr>
        <w:pStyle w:val="Reminders"/>
        <w:tabs>
          <w:tab w:val="num" w:pos="360"/>
        </w:tabs>
        <w:rPr>
          <w:rFonts w:asciiTheme="minorHAnsi" w:hAnsiTheme="minorHAnsi" w:cstheme="minorHAnsi"/>
          <w:i w:val="0"/>
          <w:color w:val="auto"/>
          <w:szCs w:val="22"/>
        </w:rPr>
      </w:pPr>
      <w:r w:rsidRPr="002D21FC">
        <w:rPr>
          <w:rFonts w:asciiTheme="minorHAnsi" w:hAnsiTheme="minorHAnsi" w:cstheme="minorHAnsi"/>
          <w:i w:val="0"/>
          <w:color w:val="auto"/>
          <w:szCs w:val="22"/>
        </w:rPr>
        <w:t>NEMA design A &amp; B motors are used for most applications including, fans, pumps, some compressors, and many other types of machineries. ODP motors and TEFC motors are the most common enclosure types. Most motors operate at 1800 rpm, with fewer at 1200, 3600 and very few at 900 rpm. Based on paid 2010 PG&amp;E upstream motors applications, 72% of the motors were 1800 RPM, 20% were 1200 RPM and 8% were 3600 RPM. Approximately 78% of motors in the 2010 Upstream Motors Program were TEFC and 22% were ODP.</w:t>
      </w:r>
    </w:p>
    <w:p w14:paraId="74300DB3" w14:textId="77777777" w:rsidR="002D21FC" w:rsidRDefault="002D21FC" w:rsidP="00697868">
      <w:pPr>
        <w:pStyle w:val="Reminders"/>
        <w:tabs>
          <w:tab w:val="num" w:pos="360"/>
        </w:tabs>
        <w:rPr>
          <w:rFonts w:asciiTheme="minorHAnsi" w:hAnsiTheme="minorHAnsi" w:cstheme="minorHAnsi"/>
          <w:i w:val="0"/>
          <w:szCs w:val="22"/>
        </w:rPr>
      </w:pPr>
    </w:p>
    <w:p w14:paraId="1E57C614" w14:textId="2E698FC2" w:rsidR="002D21FC" w:rsidRPr="002D21FC" w:rsidRDefault="002D21FC" w:rsidP="00697868">
      <w:pPr>
        <w:pStyle w:val="Reminders"/>
        <w:tabs>
          <w:tab w:val="num" w:pos="360"/>
        </w:tabs>
        <w:rPr>
          <w:rFonts w:asciiTheme="minorHAnsi" w:hAnsiTheme="minorHAnsi" w:cstheme="minorHAnsi"/>
          <w:i w:val="0"/>
          <w:color w:val="auto"/>
          <w:szCs w:val="22"/>
        </w:rPr>
      </w:pPr>
      <w:r w:rsidRPr="002D21FC">
        <w:rPr>
          <w:rFonts w:asciiTheme="minorHAnsi" w:hAnsiTheme="minorHAnsi" w:cstheme="minorHAnsi"/>
          <w:i w:val="0"/>
          <w:color w:val="auto"/>
          <w:szCs w:val="22"/>
        </w:rPr>
        <w:lastRenderedPageBreak/>
        <w:t>Not all motors that fail are replaced with new motors. Larger motors are typically rewound, if possible. According to Section 3.1 of the CPUC Energy Division Phase 2 Workpaper Review and Measure Disposition</w:t>
      </w:r>
      <w:r w:rsidRPr="002D21FC">
        <w:rPr>
          <w:rFonts w:asciiTheme="minorHAnsi" w:hAnsiTheme="minorHAnsi" w:cstheme="minorHAnsi"/>
          <w:i w:val="0"/>
          <w:color w:val="auto"/>
          <w:szCs w:val="22"/>
          <w:vertAlign w:val="superscript"/>
        </w:rPr>
        <w:endnoteReference w:id="1"/>
      </w:r>
      <w:r w:rsidRPr="002D21FC">
        <w:rPr>
          <w:rFonts w:asciiTheme="minorHAnsi" w:hAnsiTheme="minorHAnsi" w:cstheme="minorHAnsi"/>
          <w:i w:val="0"/>
          <w:color w:val="auto"/>
          <w:szCs w:val="22"/>
        </w:rPr>
        <w:t xml:space="preserve"> (the Disposition), in industrial applications, motors are rewound 22% to 82% of the time for a range between 25 to 200 hp motors. The percentage of rewound motors in each size range is summarized in Table 3. This workpaper assumes no efficiency loss for a rewound motor as recommended in the Disposition, Attachment A, Section 1.6.</w:t>
      </w:r>
    </w:p>
    <w:p w14:paraId="6305B922" w14:textId="24C382E2" w:rsidR="0064729D" w:rsidRPr="0050091B" w:rsidRDefault="00697868" w:rsidP="0050091B">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45B5915" w:rsidR="001B2301" w:rsidRDefault="0050091B" w:rsidP="00697868">
      <w:pPr>
        <w:pStyle w:val="Reminders"/>
        <w:tabs>
          <w:tab w:val="num" w:pos="360"/>
        </w:tabs>
        <w:rPr>
          <w:rFonts w:asciiTheme="minorHAnsi" w:hAnsiTheme="minorHAnsi" w:cstheme="minorHAnsi"/>
          <w:i w:val="0"/>
          <w:color w:val="000000" w:themeColor="text1"/>
          <w:szCs w:val="22"/>
        </w:rPr>
      </w:pPr>
      <w:r w:rsidRPr="0050091B">
        <w:rPr>
          <w:rFonts w:asciiTheme="minorHAnsi" w:hAnsiTheme="minorHAnsi" w:cstheme="minorHAnsi"/>
          <w:i w:val="0"/>
          <w:color w:val="000000" w:themeColor="text1"/>
          <w:szCs w:val="22"/>
        </w:rPr>
        <w:t>The installation type for this measure is Replace on</w:t>
      </w:r>
      <w:r w:rsidR="009A0E11">
        <w:rPr>
          <w:rFonts w:asciiTheme="minorHAnsi" w:hAnsiTheme="minorHAnsi" w:cstheme="minorHAnsi"/>
          <w:i w:val="0"/>
          <w:color w:val="000000" w:themeColor="text1"/>
          <w:szCs w:val="22"/>
        </w:rPr>
        <w:t xml:space="preserve"> Burnout (ROB). The base case is</w:t>
      </w:r>
      <w:r w:rsidRPr="0050091B">
        <w:rPr>
          <w:rFonts w:asciiTheme="minorHAnsi" w:hAnsiTheme="minorHAnsi" w:cstheme="minorHAnsi"/>
          <w:i w:val="0"/>
          <w:color w:val="000000" w:themeColor="text1"/>
          <w:szCs w:val="22"/>
        </w:rPr>
        <w:t xml:space="preserve"> industry standard practice, where 80% of motors above 50 HP are rewound.</w:t>
      </w:r>
    </w:p>
    <w:p w14:paraId="26A4D533" w14:textId="77777777" w:rsidR="007C452E" w:rsidRDefault="007C452E"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3E7B06B5" w14:textId="77777777" w:rsidR="0050091B" w:rsidRDefault="0050091B" w:rsidP="00920905"/>
    <w:p w14:paraId="1C2ADD3B" w14:textId="3B2393BC" w:rsidR="001B2301" w:rsidRDefault="0050091B" w:rsidP="00920905">
      <w:r>
        <w:t xml:space="preserve">The delivery method is financial support. </w:t>
      </w:r>
    </w:p>
    <w:p w14:paraId="19CC1EE2" w14:textId="77777777" w:rsidR="0050091B" w:rsidRPr="00500C4E" w:rsidRDefault="0050091B"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 xml:space="preserve">implements energy efficiency measures for qualifying customers, at no cost to </w:t>
            </w:r>
            <w:r w:rsidRPr="00920905">
              <w:rPr>
                <w:sz w:val="18"/>
                <w:szCs w:val="18"/>
              </w:rPr>
              <w:lastRenderedPageBreak/>
              <w:t>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lastRenderedPageBreak/>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43C18299" w14:textId="5EE76C76" w:rsidR="0050091B" w:rsidRPr="00500C4E" w:rsidRDefault="0050091B">
      <w:r>
        <w:t>The incentive method is a down-stream incentive provided directly to the customer.</w:t>
      </w:r>
    </w:p>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603F15C3" w14:textId="42DBB226" w:rsidR="002469DD" w:rsidRPr="005F1962" w:rsidRDefault="00F06CCF" w:rsidP="005F1962">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F38CA8C" w:rsidR="00E326BA" w:rsidRPr="003C2278" w:rsidRDefault="00E326BA" w:rsidP="00920905">
            <w:pPr>
              <w:rPr>
                <w:rFonts w:cs="Arial"/>
                <w:b/>
                <w:color w:val="000000" w:themeColor="text1"/>
                <w:szCs w:val="20"/>
              </w:rPr>
            </w:pPr>
            <w:r w:rsidRPr="003C2278">
              <w:rPr>
                <w:rFonts w:cs="Arial"/>
                <w:color w:val="000000" w:themeColor="text1"/>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70BF5B56" w:rsidR="00E326BA" w:rsidRPr="003C2278" w:rsidRDefault="00E326BA" w:rsidP="00920905">
            <w:pPr>
              <w:rPr>
                <w:rFonts w:cs="Arial"/>
                <w:color w:val="000000" w:themeColor="text1"/>
                <w:szCs w:val="20"/>
              </w:rPr>
            </w:pPr>
            <w:r w:rsidRPr="003C2278">
              <w:rPr>
                <w:rFonts w:cs="Arial"/>
                <w:color w:val="000000" w:themeColor="text1"/>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781FE375" w:rsidR="00E326BA" w:rsidRPr="003C2278" w:rsidRDefault="00E326BA" w:rsidP="00920905">
            <w:pPr>
              <w:rPr>
                <w:rFonts w:cs="Arial"/>
                <w:color w:val="000000" w:themeColor="text1"/>
                <w:szCs w:val="20"/>
              </w:rPr>
            </w:pPr>
            <w:r w:rsidRPr="003C2278">
              <w:rPr>
                <w:rFonts w:cs="Arial"/>
                <w:color w:val="000000" w:themeColor="text1"/>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2AD6A91C" w:rsidR="00E326BA" w:rsidRPr="003C2278" w:rsidRDefault="00E326BA" w:rsidP="0050091B">
            <w:pPr>
              <w:rPr>
                <w:rFonts w:cs="Arial"/>
                <w:color w:val="000000" w:themeColor="text1"/>
                <w:szCs w:val="20"/>
              </w:rPr>
            </w:pPr>
            <w:r w:rsidRPr="003C2278">
              <w:rPr>
                <w:rFonts w:cs="Arial"/>
                <w:color w:val="000000" w:themeColor="text1"/>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82273F0" w:rsidR="00E326BA" w:rsidRPr="003C2278" w:rsidRDefault="00E326BA" w:rsidP="00920905">
            <w:pPr>
              <w:rPr>
                <w:rFonts w:cs="Arial"/>
                <w:color w:val="000000" w:themeColor="text1"/>
                <w:szCs w:val="20"/>
              </w:rPr>
            </w:pPr>
            <w:r w:rsidRPr="003C2278">
              <w:rPr>
                <w:rFonts w:cs="Arial"/>
                <w:color w:val="000000" w:themeColor="text1"/>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CC66CB8" w:rsidR="00E326BA" w:rsidRPr="003C2278" w:rsidRDefault="00254671" w:rsidP="00920905">
            <w:pPr>
              <w:rPr>
                <w:rFonts w:cs="Arial"/>
                <w:color w:val="000000" w:themeColor="text1"/>
                <w:szCs w:val="20"/>
              </w:rPr>
            </w:pPr>
            <w:r w:rsidRPr="003C2278">
              <w:rPr>
                <w:rFonts w:cs="Arial"/>
                <w:color w:val="000000" w:themeColor="text1"/>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345A0F7" w:rsidR="00505CEC" w:rsidRPr="003C2278" w:rsidDel="00505CEC" w:rsidRDefault="00505CEC" w:rsidP="00920905">
            <w:pPr>
              <w:rPr>
                <w:rFonts w:cs="Arial"/>
                <w:color w:val="000000" w:themeColor="text1"/>
                <w:szCs w:val="20"/>
              </w:rPr>
            </w:pPr>
            <w:r w:rsidRPr="003C2278">
              <w:rPr>
                <w:rFonts w:cs="Arial"/>
                <w:color w:val="000000" w:themeColor="text1"/>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0FEDCB24" w:rsidR="00D86A9D" w:rsidRPr="003C2278" w:rsidRDefault="007C452E" w:rsidP="00175D14">
            <w:pPr>
              <w:rPr>
                <w:rFonts w:cs="Arial"/>
                <w:color w:val="000000" w:themeColor="text1"/>
                <w:szCs w:val="20"/>
              </w:rPr>
            </w:pPr>
            <w:r>
              <w:rPr>
                <w:rFonts w:cstheme="minorHAnsi"/>
                <w:color w:val="000000" w:themeColor="text1"/>
                <w:szCs w:val="20"/>
              </w:rPr>
              <w:t>DEER 2016, READI v2.4.7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0C4B968B" w:rsidR="00E326BA" w:rsidRPr="003C2278" w:rsidRDefault="0050091B" w:rsidP="00920905">
            <w:pPr>
              <w:rPr>
                <w:rFonts w:cs="Arial"/>
                <w:color w:val="000000" w:themeColor="text1"/>
                <w:szCs w:val="20"/>
              </w:rPr>
            </w:pPr>
            <w:r w:rsidRPr="003C2278">
              <w:rPr>
                <w:rFonts w:cs="Arial"/>
                <w:color w:val="000000" w:themeColor="text1"/>
                <w:szCs w:val="20"/>
              </w:rPr>
              <w:t>DEER does not contain energy impacts for large motors, but a DEER EUL is available.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4DBAC790" w:rsidR="00E326BA" w:rsidRPr="003C2278" w:rsidRDefault="0050091B" w:rsidP="00920905">
            <w:pPr>
              <w:rPr>
                <w:rFonts w:cs="Arial"/>
                <w:color w:val="000000" w:themeColor="text1"/>
                <w:szCs w:val="20"/>
              </w:rPr>
            </w:pPr>
            <w:r w:rsidRPr="003C2278">
              <w:rPr>
                <w:rFonts w:cs="Arial"/>
                <w:color w:val="000000" w:themeColor="text1"/>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CD78CA6" w14:textId="7840616C" w:rsidR="00472250" w:rsidRPr="00DB44E9" w:rsidRDefault="00472250" w:rsidP="00472250">
      <w:pPr>
        <w:pStyle w:val="Reminders"/>
        <w:rPr>
          <w:rFonts w:asciiTheme="minorHAnsi" w:hAnsiTheme="minorHAnsi" w:cstheme="minorHAnsi"/>
          <w:i w:val="0"/>
          <w:szCs w:val="22"/>
        </w:rPr>
      </w:pP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11987BBA" w:rsidR="00907697" w:rsidRPr="003C2278" w:rsidRDefault="00F67219" w:rsidP="005729C8">
            <w:pPr>
              <w:rPr>
                <w:color w:val="000000" w:themeColor="text1"/>
                <w:szCs w:val="20"/>
              </w:rPr>
            </w:pPr>
            <w:r>
              <w:rPr>
                <w:color w:val="000000" w:themeColor="text1"/>
                <w:szCs w:val="20"/>
              </w:rPr>
              <w:t>Com</w:t>
            </w:r>
            <w:r w:rsidR="00907697" w:rsidRPr="003C2278">
              <w:rPr>
                <w:color w:val="000000" w:themeColor="text1"/>
                <w:szCs w:val="20"/>
              </w:rPr>
              <w:t>-Default&gt;2yrs</w:t>
            </w:r>
          </w:p>
        </w:tc>
        <w:tc>
          <w:tcPr>
            <w:tcW w:w="2019" w:type="pct"/>
          </w:tcPr>
          <w:p w14:paraId="755799BF" w14:textId="77777777" w:rsidR="00907697" w:rsidRPr="003C2278" w:rsidRDefault="00907697" w:rsidP="005729C8">
            <w:pPr>
              <w:rPr>
                <w:color w:val="000000" w:themeColor="text1"/>
                <w:szCs w:val="20"/>
              </w:rPr>
            </w:pPr>
            <w:r w:rsidRPr="003C2278">
              <w:rPr>
                <w:color w:val="000000" w:themeColor="text1"/>
                <w:szCs w:val="20"/>
              </w:rPr>
              <w:t>All other EEMs with no evaluated NTGR; existing EEM in programs with same delivery mechanism for more than 2 years</w:t>
            </w:r>
          </w:p>
        </w:tc>
        <w:tc>
          <w:tcPr>
            <w:tcW w:w="434" w:type="pct"/>
          </w:tcPr>
          <w:p w14:paraId="3CB22E86" w14:textId="0522466D" w:rsidR="00907697" w:rsidRPr="003C2278" w:rsidRDefault="00F67219" w:rsidP="005729C8">
            <w:pPr>
              <w:rPr>
                <w:color w:val="000000" w:themeColor="text1"/>
                <w:szCs w:val="20"/>
              </w:rPr>
            </w:pPr>
            <w:r>
              <w:rPr>
                <w:color w:val="000000" w:themeColor="text1"/>
                <w:szCs w:val="20"/>
              </w:rPr>
              <w:t>Com</w:t>
            </w:r>
          </w:p>
        </w:tc>
        <w:tc>
          <w:tcPr>
            <w:tcW w:w="529" w:type="pct"/>
          </w:tcPr>
          <w:p w14:paraId="1AAF8C8B" w14:textId="77777777" w:rsidR="00907697" w:rsidRPr="003C2278" w:rsidRDefault="00907697" w:rsidP="005729C8">
            <w:pPr>
              <w:rPr>
                <w:color w:val="000000" w:themeColor="text1"/>
                <w:szCs w:val="20"/>
              </w:rPr>
            </w:pPr>
            <w:r w:rsidRPr="003C2278">
              <w:rPr>
                <w:color w:val="000000" w:themeColor="text1"/>
                <w:szCs w:val="20"/>
              </w:rPr>
              <w:t>Any</w:t>
            </w:r>
          </w:p>
        </w:tc>
        <w:tc>
          <w:tcPr>
            <w:tcW w:w="915" w:type="pct"/>
          </w:tcPr>
          <w:p w14:paraId="5BAF7D5F" w14:textId="77777777" w:rsidR="00907697" w:rsidRPr="003C2278" w:rsidRDefault="00907697" w:rsidP="005729C8">
            <w:pPr>
              <w:rPr>
                <w:color w:val="000000" w:themeColor="text1"/>
                <w:szCs w:val="20"/>
              </w:rPr>
            </w:pPr>
            <w:r w:rsidRPr="003C2278">
              <w:rPr>
                <w:color w:val="000000" w:themeColor="text1"/>
                <w:szCs w:val="20"/>
              </w:rPr>
              <w:t>Any</w:t>
            </w:r>
          </w:p>
        </w:tc>
        <w:tc>
          <w:tcPr>
            <w:tcW w:w="430" w:type="pct"/>
          </w:tcPr>
          <w:p w14:paraId="76698D49" w14:textId="77777777" w:rsidR="00907697" w:rsidRPr="003C2278" w:rsidRDefault="00907697" w:rsidP="005729C8">
            <w:pPr>
              <w:rPr>
                <w:color w:val="000000" w:themeColor="text1"/>
                <w:szCs w:val="20"/>
              </w:rPr>
            </w:pPr>
            <w:r w:rsidRPr="003C2278">
              <w:rPr>
                <w:color w:val="000000" w:themeColor="text1"/>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6910F883" w14:textId="22B6F4CF" w:rsidR="00472250" w:rsidRPr="00500C4E" w:rsidRDefault="00472250" w:rsidP="00472250">
      <w:pPr>
        <w:pStyle w:val="Reminders"/>
        <w:rPr>
          <w:rFonts w:asciiTheme="minorHAnsi" w:hAnsiTheme="minorHAnsi" w:cstheme="minorHAnsi"/>
          <w:i w:val="0"/>
          <w:color w:val="auto"/>
          <w:szCs w:val="22"/>
        </w:rPr>
      </w:pPr>
    </w:p>
    <w:p w14:paraId="425FECE8" w14:textId="378083B7" w:rsidR="00240B74" w:rsidRPr="00920905" w:rsidRDefault="00061A8E" w:rsidP="00920905">
      <w:pPr>
        <w:pStyle w:val="NoSpacing"/>
      </w:pPr>
      <w:r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157D158D" w:rsidR="002F4E34" w:rsidRPr="00F67219" w:rsidRDefault="002974E4" w:rsidP="005729C8">
            <w:pPr>
              <w:rPr>
                <w:szCs w:val="20"/>
              </w:rPr>
            </w:pPr>
            <w:r>
              <w:rPr>
                <w:szCs w:val="20"/>
              </w:rPr>
              <w:t>Def-GSIA</w:t>
            </w:r>
          </w:p>
        </w:tc>
        <w:tc>
          <w:tcPr>
            <w:tcW w:w="1404" w:type="pct"/>
          </w:tcPr>
          <w:p w14:paraId="2BFFF598" w14:textId="0BA7B493" w:rsidR="002F4E34" w:rsidRPr="00F67219" w:rsidRDefault="002974E4" w:rsidP="005729C8">
            <w:pPr>
              <w:rPr>
                <w:szCs w:val="20"/>
              </w:rPr>
            </w:pPr>
            <w:r>
              <w:rPr>
                <w:szCs w:val="20"/>
              </w:rPr>
              <w:t>Default GSIA values</w:t>
            </w:r>
          </w:p>
        </w:tc>
        <w:tc>
          <w:tcPr>
            <w:tcW w:w="688" w:type="pct"/>
          </w:tcPr>
          <w:p w14:paraId="157D8A62" w14:textId="77777777" w:rsidR="002F4E34" w:rsidRPr="00F67219" w:rsidRDefault="002F4E34" w:rsidP="005729C8">
            <w:pPr>
              <w:rPr>
                <w:szCs w:val="20"/>
              </w:rPr>
            </w:pPr>
            <w:r w:rsidRPr="00F67219">
              <w:rPr>
                <w:szCs w:val="20"/>
              </w:rPr>
              <w:t>Any</w:t>
            </w:r>
          </w:p>
        </w:tc>
        <w:tc>
          <w:tcPr>
            <w:tcW w:w="858" w:type="pct"/>
          </w:tcPr>
          <w:p w14:paraId="0C3293FE" w14:textId="77777777" w:rsidR="002F4E34" w:rsidRPr="00F67219" w:rsidRDefault="002F4E34" w:rsidP="005729C8">
            <w:pPr>
              <w:rPr>
                <w:szCs w:val="20"/>
              </w:rPr>
            </w:pPr>
            <w:r w:rsidRPr="00F67219">
              <w:rPr>
                <w:szCs w:val="20"/>
              </w:rPr>
              <w:t>Any</w:t>
            </w:r>
          </w:p>
        </w:tc>
        <w:tc>
          <w:tcPr>
            <w:tcW w:w="693" w:type="pct"/>
          </w:tcPr>
          <w:p w14:paraId="0B642835" w14:textId="77777777" w:rsidR="002F4E34" w:rsidRPr="00F67219" w:rsidRDefault="002F4E34" w:rsidP="005729C8">
            <w:pPr>
              <w:rPr>
                <w:szCs w:val="20"/>
              </w:rPr>
            </w:pPr>
            <w:r w:rsidRPr="00F67219">
              <w:rPr>
                <w:szCs w:val="20"/>
              </w:rPr>
              <w:t>Any</w:t>
            </w:r>
          </w:p>
        </w:tc>
        <w:tc>
          <w:tcPr>
            <w:tcW w:w="634" w:type="pct"/>
          </w:tcPr>
          <w:p w14:paraId="1C671DD2" w14:textId="636DF316" w:rsidR="002F4E34" w:rsidRPr="00F67219" w:rsidRDefault="002974E4" w:rsidP="005729C8">
            <w:pPr>
              <w:rPr>
                <w:szCs w:val="20"/>
              </w:rPr>
            </w:pPr>
            <w:r>
              <w:rPr>
                <w:szCs w:val="20"/>
              </w:rPr>
              <w:t>1</w:t>
            </w:r>
          </w:p>
        </w:tc>
      </w:tr>
    </w:tbl>
    <w:p w14:paraId="1CA56A75" w14:textId="77777777" w:rsidR="006B4A48" w:rsidRDefault="006B4A48" w:rsidP="000968C6">
      <w:pPr>
        <w:pStyle w:val="Reminders"/>
        <w:rPr>
          <w:rFonts w:asciiTheme="minorHAnsi" w:hAnsiTheme="minorHAnsi" w:cstheme="minorHAnsi"/>
          <w:b/>
          <w:i w:val="0"/>
          <w:color w:val="auto"/>
          <w:szCs w:val="22"/>
        </w:rPr>
      </w:pPr>
    </w:p>
    <w:p w14:paraId="5B23CC86" w14:textId="076A165C" w:rsidR="000063B5" w:rsidRPr="000063B5" w:rsidRDefault="000063B5" w:rsidP="000968C6">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installation service rate (ISR) is already incorporated into energy savings calculations.</w:t>
      </w:r>
    </w:p>
    <w:p w14:paraId="5B049DBA" w14:textId="77777777" w:rsidR="000063B5" w:rsidRPr="00B05647" w:rsidRDefault="000063B5"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EDD303D" w14:textId="2C59142D" w:rsidR="00665C04" w:rsidRPr="00500C4E" w:rsidRDefault="00665C04" w:rsidP="006A6D15">
      <w:pPr>
        <w:pStyle w:val="Reminder"/>
        <w:rPr>
          <w:rFonts w:asciiTheme="minorHAnsi" w:hAnsiTheme="minorHAnsi" w:cstheme="minorHAnsi"/>
          <w:i w:val="0"/>
          <w:szCs w:val="22"/>
        </w:rPr>
      </w:pP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5A79FA7D" w:rsidR="00BA2E7E" w:rsidRPr="009A0E11" w:rsidRDefault="00F67219" w:rsidP="00BA2E7E">
            <w:pPr>
              <w:rPr>
                <w:szCs w:val="20"/>
              </w:rPr>
            </w:pPr>
            <w:r w:rsidRPr="009A0E11">
              <w:rPr>
                <w:szCs w:val="20"/>
              </w:rPr>
              <w:t>Motors-HiEff</w:t>
            </w:r>
          </w:p>
        </w:tc>
        <w:tc>
          <w:tcPr>
            <w:tcW w:w="1436" w:type="pct"/>
          </w:tcPr>
          <w:p w14:paraId="36E678D1" w14:textId="4594366F" w:rsidR="00BA2E7E" w:rsidRPr="009A0E11" w:rsidRDefault="00F67219" w:rsidP="00BA2E7E">
            <w:pPr>
              <w:rPr>
                <w:szCs w:val="20"/>
              </w:rPr>
            </w:pPr>
            <w:r w:rsidRPr="009A0E11">
              <w:rPr>
                <w:szCs w:val="20"/>
              </w:rPr>
              <w:t>Premium-Efficiency Motors</w:t>
            </w:r>
          </w:p>
        </w:tc>
        <w:tc>
          <w:tcPr>
            <w:tcW w:w="474" w:type="pct"/>
          </w:tcPr>
          <w:p w14:paraId="42B5C736" w14:textId="77777777" w:rsidR="00BA2E7E" w:rsidRPr="009A0E11" w:rsidRDefault="00BA2E7E" w:rsidP="00BA2E7E">
            <w:pPr>
              <w:rPr>
                <w:szCs w:val="20"/>
              </w:rPr>
            </w:pPr>
            <w:r w:rsidRPr="009A0E11">
              <w:rPr>
                <w:szCs w:val="20"/>
              </w:rPr>
              <w:t>Com</w:t>
            </w:r>
          </w:p>
        </w:tc>
        <w:tc>
          <w:tcPr>
            <w:tcW w:w="676" w:type="pct"/>
          </w:tcPr>
          <w:p w14:paraId="52A841ED" w14:textId="2F47AE15" w:rsidR="00BA2E7E" w:rsidRPr="009A0E11" w:rsidRDefault="00F67219" w:rsidP="00BA2E7E">
            <w:pPr>
              <w:rPr>
                <w:szCs w:val="20"/>
              </w:rPr>
            </w:pPr>
            <w:r w:rsidRPr="009A0E11">
              <w:rPr>
                <w:szCs w:val="20"/>
              </w:rPr>
              <w:t>Any</w:t>
            </w:r>
          </w:p>
        </w:tc>
        <w:tc>
          <w:tcPr>
            <w:tcW w:w="813" w:type="pct"/>
          </w:tcPr>
          <w:p w14:paraId="1BF5FCBD" w14:textId="77777777" w:rsidR="00BA2E7E" w:rsidRPr="009A0E11" w:rsidRDefault="00BA2E7E" w:rsidP="00BA2E7E">
            <w:pPr>
              <w:rPr>
                <w:szCs w:val="20"/>
              </w:rPr>
            </w:pPr>
            <w:r w:rsidRPr="009A0E11">
              <w:rPr>
                <w:szCs w:val="20"/>
              </w:rPr>
              <w:t>15</w:t>
            </w:r>
          </w:p>
        </w:tc>
        <w:tc>
          <w:tcPr>
            <w:tcW w:w="777" w:type="pct"/>
          </w:tcPr>
          <w:p w14:paraId="46ED97C1" w14:textId="77777777" w:rsidR="00BA2E7E" w:rsidRPr="009A0E11" w:rsidRDefault="00BA2E7E" w:rsidP="00BA2E7E">
            <w:pPr>
              <w:rPr>
                <w:szCs w:val="20"/>
              </w:rPr>
            </w:pPr>
            <w:r w:rsidRPr="009A0E11">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0767775A" w14:textId="25C7519A" w:rsidR="00D564BC" w:rsidRPr="00CD3272" w:rsidRDefault="00D564BC" w:rsidP="00E16609">
      <w:pPr>
        <w:pStyle w:val="Reminders"/>
        <w:rPr>
          <w:rFonts w:asciiTheme="minorHAnsi" w:hAnsiTheme="minorHAnsi" w:cstheme="minorHAnsi"/>
          <w:i w:val="0"/>
          <w:szCs w:val="22"/>
        </w:rPr>
      </w:pPr>
      <w:r w:rsidRPr="00CD3272">
        <w:rPr>
          <w:rFonts w:asciiTheme="minorHAnsi" w:hAnsiTheme="minorHAnsi" w:cs="Arial"/>
          <w:b/>
          <w:i w:val="0"/>
          <w:color w:val="auto"/>
        </w:rPr>
        <w:t>California Code of Regulations, Public Utilities and Energy (Title 20):</w:t>
      </w:r>
      <w:r w:rsidRPr="00CD3272">
        <w:rPr>
          <w:rFonts w:asciiTheme="minorHAnsi" w:hAnsiTheme="minorHAnsi"/>
          <w:color w:val="auto"/>
        </w:rPr>
        <w:t xml:space="preserve"> </w:t>
      </w:r>
      <w:r w:rsidRPr="00CD3272">
        <w:rPr>
          <w:rFonts w:asciiTheme="minorHAnsi" w:hAnsiTheme="minorHAnsi"/>
          <w:i w:val="0"/>
          <w:color w:val="auto"/>
        </w:rPr>
        <w:t xml:space="preserve">This measure falls under section </w:t>
      </w:r>
      <w:r w:rsidR="0024687B">
        <w:rPr>
          <w:rFonts w:asciiTheme="minorHAnsi" w:hAnsiTheme="minorHAnsi"/>
          <w:i w:val="0"/>
          <w:color w:val="auto"/>
        </w:rPr>
        <w:t>1605.1, subsection S of the 2015</w:t>
      </w:r>
      <w:r w:rsidRPr="00CD3272">
        <w:rPr>
          <w:rFonts w:asciiTheme="minorHAnsi" w:hAnsiTheme="minorHAnsi"/>
          <w:i w:val="0"/>
          <w:color w:val="auto"/>
        </w:rPr>
        <w:t xml:space="preserve"> California Energy Regulations, Public Utilities and Energy (Title 20)</w:t>
      </w:r>
      <w:r w:rsidRPr="00CD3272">
        <w:rPr>
          <w:rStyle w:val="EndnoteReference"/>
          <w:rFonts w:asciiTheme="minorHAnsi" w:hAnsiTheme="minorHAnsi"/>
          <w:i w:val="0"/>
          <w:color w:val="auto"/>
        </w:rPr>
        <w:endnoteReference w:id="2"/>
      </w:r>
      <w:r w:rsidRPr="00CD3272">
        <w:rPr>
          <w:rFonts w:asciiTheme="minorHAnsi" w:hAnsiTheme="minorHAnsi"/>
          <w:i w:val="0"/>
          <w:color w:val="auto"/>
        </w:rPr>
        <w:t>. Title 20 refers to The Energy Independence and Security Act (EISA) 2007, the federal standard that supersedes it.</w:t>
      </w:r>
    </w:p>
    <w:p w14:paraId="275A6CF9" w14:textId="77777777" w:rsidR="00D564BC" w:rsidRDefault="00D564BC" w:rsidP="00E16609">
      <w:pPr>
        <w:pStyle w:val="Reminders"/>
        <w:rPr>
          <w:rFonts w:asciiTheme="minorHAnsi" w:hAnsiTheme="minorHAnsi" w:cstheme="minorHAnsi"/>
          <w:i w:val="0"/>
          <w:szCs w:val="22"/>
        </w:rPr>
      </w:pPr>
    </w:p>
    <w:p w14:paraId="736BEE36" w14:textId="77777777" w:rsidR="00CD3272" w:rsidRPr="00CD3272" w:rsidRDefault="00CD3272" w:rsidP="00CD3272">
      <w:r w:rsidRPr="00CD3272">
        <w:rPr>
          <w:rFonts w:cs="Arial"/>
          <w:b/>
        </w:rPr>
        <w:t>California Code of Regulations, Energy Efficiency Standards for Residential and Nonresidential Buildings (Title 24):</w:t>
      </w:r>
      <w:r w:rsidRPr="00CD3272">
        <w:t xml:space="preserve"> This measure does not fall under Part 6, of the 2008 California Code of Regulations, Energy Efficiency Standards for Residential and Nonresidential Buildings (Title 24). </w:t>
      </w:r>
    </w:p>
    <w:p w14:paraId="31C73E97" w14:textId="77EE20B0" w:rsidR="009D5131" w:rsidRDefault="009D5131" w:rsidP="009D5131">
      <w:pPr>
        <w:pStyle w:val="Reminders"/>
        <w:rPr>
          <w:rFonts w:asciiTheme="minorHAnsi" w:hAnsiTheme="minorHAnsi" w:cstheme="minorHAnsi"/>
          <w:i w:val="0"/>
          <w:szCs w:val="22"/>
        </w:rPr>
      </w:pPr>
    </w:p>
    <w:p w14:paraId="1BF8E5B5" w14:textId="6A924487" w:rsidR="006D6FEA" w:rsidRPr="003A7574" w:rsidRDefault="006D6FEA" w:rsidP="006D6FEA">
      <w:r w:rsidRPr="003A7574">
        <w:rPr>
          <w:rFonts w:ascii="Arial" w:hAnsi="Arial" w:cs="Arial"/>
          <w:b/>
          <w:i/>
        </w:rPr>
        <w:t>Federal Standards:</w:t>
      </w:r>
      <w:r w:rsidRPr="003A7574">
        <w:t xml:space="preserve"> The Energy Independence and Security Act (EISA) 2007, effective December 19, 2010, mandates that motors manufactured or imported into the United States must meet at a minimum NEMA Premium™ Efficiency Levels. These levels are defined by the </w:t>
      </w:r>
      <w:r w:rsidRPr="00682F33">
        <w:t xml:space="preserve">NEMA Standards Publication </w:t>
      </w:r>
      <w:r>
        <w:t>MG 1-2009</w:t>
      </w:r>
      <w:r w:rsidRPr="00682F33">
        <w:t>, Revision 1-2010, Part 12, Page 35, Table 12-12</w:t>
      </w:r>
      <w:r w:rsidRPr="003A7574">
        <w:t xml:space="preserve"> for motors 1 to 200 hp, </w:t>
      </w:r>
      <w:r>
        <w:t>d</w:t>
      </w:r>
      <w:r w:rsidRPr="003A7574">
        <w:t xml:space="preserve">esign A&amp;B. The standard applies to NEMA design A and B, integral horsepower, general purpose, ODP and TEFC motors (1200, 1800, and 3600 RPMs) from 1-200 hp. </w:t>
      </w:r>
    </w:p>
    <w:p w14:paraId="36912486" w14:textId="77777777" w:rsidR="006D6FEA" w:rsidRPr="003A7574" w:rsidRDefault="006D6FEA" w:rsidP="006D6FEA"/>
    <w:p w14:paraId="68DA5B99" w14:textId="265DA5EC" w:rsidR="006D6FEA" w:rsidRDefault="006D6FEA" w:rsidP="006D6FEA">
      <w:pPr>
        <w:pStyle w:val="Reminders"/>
        <w:rPr>
          <w:rFonts w:asciiTheme="minorHAnsi" w:hAnsiTheme="minorHAnsi"/>
          <w:i w:val="0"/>
          <w:color w:val="auto"/>
        </w:rPr>
      </w:pPr>
      <w:r w:rsidRPr="006D6FEA">
        <w:rPr>
          <w:rFonts w:asciiTheme="minorHAnsi" w:hAnsiTheme="minorHAnsi"/>
          <w:i w:val="0"/>
          <w:color w:val="auto"/>
        </w:rPr>
        <w:t>NEMA designs C &amp; D, also considered Subtype II, are special-purpose motors and are not addressed in this work paper. EISA 2007 has mandated that NEMA designs C &amp; D special purpose motors have EPACT minimum efficiency levels stated in the NEMA</w:t>
      </w:r>
      <w:r w:rsidR="007C452E">
        <w:rPr>
          <w:rFonts w:asciiTheme="minorHAnsi" w:hAnsiTheme="minorHAnsi"/>
          <w:i w:val="0"/>
          <w:color w:val="auto"/>
        </w:rPr>
        <w:t xml:space="preserve"> Standards Publication MG 1-2011</w:t>
      </w:r>
      <w:r w:rsidRPr="006D6FEA">
        <w:rPr>
          <w:rFonts w:asciiTheme="minorHAnsi" w:hAnsiTheme="minorHAnsi"/>
          <w:i w:val="0"/>
          <w:color w:val="auto"/>
        </w:rPr>
        <w:t>, Table 12-11</w:t>
      </w:r>
      <w:r w:rsidRPr="006D6FEA">
        <w:rPr>
          <w:rStyle w:val="EndnoteReference"/>
          <w:rFonts w:asciiTheme="minorHAnsi" w:hAnsiTheme="minorHAnsi"/>
          <w:i w:val="0"/>
          <w:color w:val="auto"/>
        </w:rPr>
        <w:endnoteReference w:id="3"/>
      </w:r>
      <w:r w:rsidRPr="006D6FEA">
        <w:rPr>
          <w:rFonts w:asciiTheme="minorHAnsi" w:hAnsiTheme="minorHAnsi"/>
          <w:i w:val="0"/>
          <w:color w:val="auto"/>
        </w:rPr>
        <w:t>.</w:t>
      </w:r>
    </w:p>
    <w:p w14:paraId="05BFA952" w14:textId="77777777" w:rsidR="006D6FEA" w:rsidRDefault="006D6FEA" w:rsidP="006D6FEA">
      <w:pPr>
        <w:pStyle w:val="Reminders"/>
        <w:rPr>
          <w:rFonts w:asciiTheme="minorHAnsi" w:hAnsiTheme="minorHAnsi"/>
          <w:i w:val="0"/>
          <w:color w:val="auto"/>
        </w:rPr>
      </w:pPr>
    </w:p>
    <w:p w14:paraId="24CF61AB" w14:textId="1383B1B2" w:rsidR="006D6FEA" w:rsidRPr="006D6FEA" w:rsidRDefault="006D6FEA" w:rsidP="006D6FEA">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The DOE issues a final rule in May 2014 to establish new and amended energy conservation standards for electric motors</w:t>
      </w:r>
      <w:r w:rsidR="00C8321D">
        <w:rPr>
          <w:rFonts w:asciiTheme="minorHAnsi" w:hAnsiTheme="minorHAnsi" w:cstheme="minorHAnsi"/>
          <w:i w:val="0"/>
          <w:color w:val="auto"/>
          <w:szCs w:val="22"/>
        </w:rPr>
        <w:t xml:space="preserve"> with an effective date of June 1</w:t>
      </w:r>
      <w:r w:rsidR="00C8321D" w:rsidRPr="00C8321D">
        <w:rPr>
          <w:rFonts w:asciiTheme="minorHAnsi" w:hAnsiTheme="minorHAnsi" w:cstheme="minorHAnsi"/>
          <w:i w:val="0"/>
          <w:color w:val="auto"/>
          <w:szCs w:val="22"/>
          <w:vertAlign w:val="superscript"/>
        </w:rPr>
        <w:t>st</w:t>
      </w:r>
      <w:r w:rsidR="00C8321D">
        <w:rPr>
          <w:rFonts w:asciiTheme="minorHAnsi" w:hAnsiTheme="minorHAnsi" w:cstheme="minorHAnsi"/>
          <w:i w:val="0"/>
          <w:color w:val="auto"/>
          <w:szCs w:val="22"/>
        </w:rPr>
        <w:t>, 2016. This rulemaking would require all currently regulated motors, with the exception of fire pump electric motors, to satisfy</w:t>
      </w:r>
      <w:r w:rsidR="00CD7E13">
        <w:rPr>
          <w:rFonts w:asciiTheme="minorHAnsi" w:hAnsiTheme="minorHAnsi" w:cstheme="minorHAnsi"/>
          <w:i w:val="0"/>
          <w:color w:val="auto"/>
          <w:szCs w:val="22"/>
        </w:rPr>
        <w:t xml:space="preserve"> </w:t>
      </w:r>
      <w:r w:rsidR="00C8321D">
        <w:rPr>
          <w:rFonts w:asciiTheme="minorHAnsi" w:hAnsiTheme="minorHAnsi" w:cstheme="minorHAnsi"/>
          <w:i w:val="0"/>
          <w:color w:val="auto"/>
          <w:szCs w:val="22"/>
        </w:rPr>
        <w:t>the efficiency levels prescribed in Table 12-12 of NEMA MG 1-2011</w:t>
      </w:r>
      <w:r>
        <w:rPr>
          <w:rFonts w:asciiTheme="minorHAnsi" w:hAnsiTheme="minorHAnsi" w:cstheme="minorHAnsi"/>
          <w:i w:val="0"/>
          <w:color w:val="auto"/>
          <w:szCs w:val="22"/>
        </w:rPr>
        <w:t xml:space="preserve">. </w:t>
      </w:r>
      <w:r w:rsidR="00AB2A79">
        <w:rPr>
          <w:rFonts w:asciiTheme="minorHAnsi" w:hAnsiTheme="minorHAnsi" w:cstheme="minorHAnsi"/>
          <w:i w:val="0"/>
          <w:color w:val="auto"/>
          <w:szCs w:val="22"/>
        </w:rPr>
        <w:t>Covered products include NEMA Design A, NEMA Design B, and IEC Design N motors with a power rating from 1 horsepower to 500 horsepower.</w:t>
      </w:r>
    </w:p>
    <w:p w14:paraId="4E7B3CDA" w14:textId="77777777" w:rsidR="006D6FEA" w:rsidRPr="00500C4E" w:rsidRDefault="006D6FEA" w:rsidP="009D5131">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55950BED" w14:textId="77777777" w:rsidTr="00920905">
        <w:trPr>
          <w:trHeight w:val="243"/>
        </w:trPr>
        <w:tc>
          <w:tcPr>
            <w:tcW w:w="1155" w:type="pct"/>
          </w:tcPr>
          <w:p w14:paraId="4AB4ED28" w14:textId="77777777" w:rsidR="00881A42" w:rsidRPr="00AB2A79" w:rsidRDefault="006A6D15" w:rsidP="00DF0D19">
            <w:pPr>
              <w:rPr>
                <w:rFonts w:cstheme="minorHAnsi"/>
                <w:szCs w:val="20"/>
              </w:rPr>
            </w:pPr>
            <w:r w:rsidRPr="00AB2A79">
              <w:rPr>
                <w:rFonts w:cstheme="minorHAnsi"/>
                <w:szCs w:val="20"/>
              </w:rPr>
              <w:t>Title 20 (2014</w:t>
            </w:r>
            <w:r w:rsidR="002C6C7A" w:rsidRPr="00AB2A79">
              <w:rPr>
                <w:rFonts w:cstheme="minorHAnsi"/>
                <w:szCs w:val="20"/>
              </w:rPr>
              <w:t>)</w:t>
            </w:r>
          </w:p>
        </w:tc>
        <w:tc>
          <w:tcPr>
            <w:tcW w:w="2711" w:type="pct"/>
          </w:tcPr>
          <w:p w14:paraId="19FAE8D5" w14:textId="5011EE1C" w:rsidR="00881A42" w:rsidRPr="00AB2A79" w:rsidRDefault="009D5131" w:rsidP="00DF0D19">
            <w:pPr>
              <w:rPr>
                <w:rFonts w:cstheme="minorHAnsi"/>
                <w:szCs w:val="20"/>
              </w:rPr>
            </w:pPr>
            <w:r w:rsidRPr="00AB2A79">
              <w:rPr>
                <w:rFonts w:cstheme="minorHAnsi"/>
                <w:szCs w:val="20"/>
              </w:rPr>
              <w:t>Section 1605.1(</w:t>
            </w:r>
            <w:r w:rsidR="00AB2A79" w:rsidRPr="00AB2A79">
              <w:rPr>
                <w:rFonts w:cstheme="minorHAnsi"/>
                <w:szCs w:val="20"/>
              </w:rPr>
              <w:t>s) Electric Motors</w:t>
            </w:r>
          </w:p>
        </w:tc>
        <w:tc>
          <w:tcPr>
            <w:tcW w:w="1134" w:type="pct"/>
          </w:tcPr>
          <w:p w14:paraId="49C2E9ED" w14:textId="0D60596E" w:rsidR="00881A42" w:rsidRPr="00AB2A79" w:rsidRDefault="00AB2A79" w:rsidP="00DF0D19">
            <w:pPr>
              <w:rPr>
                <w:rFonts w:cstheme="minorHAnsi"/>
                <w:szCs w:val="20"/>
              </w:rPr>
            </w:pPr>
            <w:r w:rsidRPr="00AB2A79">
              <w:rPr>
                <w:rFonts w:cstheme="minorHAnsi"/>
                <w:szCs w:val="20"/>
              </w:rPr>
              <w:t>July 1, 2015</w:t>
            </w:r>
          </w:p>
        </w:tc>
      </w:tr>
      <w:tr w:rsidR="002C6C7A" w:rsidRPr="00500C4E" w14:paraId="648F38EA" w14:textId="77777777" w:rsidTr="00920905">
        <w:trPr>
          <w:trHeight w:val="243"/>
        </w:trPr>
        <w:tc>
          <w:tcPr>
            <w:tcW w:w="1155" w:type="pct"/>
          </w:tcPr>
          <w:p w14:paraId="51F77357" w14:textId="75BD7A15" w:rsidR="002C6C7A" w:rsidRPr="00AB2A79" w:rsidRDefault="00AB2A79" w:rsidP="00DF0D19">
            <w:pPr>
              <w:rPr>
                <w:rFonts w:cstheme="minorHAnsi"/>
                <w:szCs w:val="20"/>
              </w:rPr>
            </w:pPr>
            <w:r w:rsidRPr="00AB2A79">
              <w:rPr>
                <w:rFonts w:cstheme="minorHAnsi"/>
                <w:szCs w:val="20"/>
              </w:rPr>
              <w:t>Code of Federal Regulations</w:t>
            </w:r>
          </w:p>
        </w:tc>
        <w:tc>
          <w:tcPr>
            <w:tcW w:w="2711" w:type="pct"/>
          </w:tcPr>
          <w:p w14:paraId="1D10AE32" w14:textId="67502336" w:rsidR="002C6C7A" w:rsidRPr="00AB2A79" w:rsidRDefault="00AB2A79" w:rsidP="00DF0D19">
            <w:pPr>
              <w:rPr>
                <w:rFonts w:cstheme="minorHAnsi"/>
                <w:szCs w:val="20"/>
              </w:rPr>
            </w:pPr>
            <w:r w:rsidRPr="00AB2A79">
              <w:rPr>
                <w:rFonts w:cstheme="minorHAnsi"/>
                <w:szCs w:val="22"/>
              </w:rPr>
              <w:t>Title 10, Chapter II, Subchapter D, Part 431.25</w:t>
            </w:r>
          </w:p>
        </w:tc>
        <w:tc>
          <w:tcPr>
            <w:tcW w:w="1134" w:type="pct"/>
          </w:tcPr>
          <w:p w14:paraId="23F7629F" w14:textId="4D6F45B0" w:rsidR="002C6C7A" w:rsidRPr="00AB2A79" w:rsidRDefault="00AB2A79" w:rsidP="00DF0D19">
            <w:pPr>
              <w:rPr>
                <w:rFonts w:cstheme="minorHAnsi"/>
                <w:szCs w:val="20"/>
              </w:rPr>
            </w:pPr>
            <w:r w:rsidRPr="00AB2A79">
              <w:rPr>
                <w:rFonts w:cstheme="minorHAnsi"/>
                <w:szCs w:val="20"/>
              </w:rPr>
              <w:t>June 1, 2016</w:t>
            </w:r>
          </w:p>
        </w:tc>
      </w:tr>
    </w:tbl>
    <w:p w14:paraId="7C37D519" w14:textId="075B018C" w:rsidR="00572D2F" w:rsidRPr="009A0E11" w:rsidRDefault="00572D2F" w:rsidP="009A0E11">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DC3A0DC" w14:textId="27E1F0B3" w:rsidR="00FF36DD" w:rsidRDefault="00572D2F" w:rsidP="00FF36DD">
      <w:pPr>
        <w:pStyle w:val="Heading3"/>
      </w:pPr>
      <w:r w:rsidRPr="00920905">
        <w:rPr>
          <w:rFonts w:asciiTheme="minorHAnsi" w:hAnsiTheme="minorHAnsi"/>
        </w:rPr>
        <w:t>1.</w:t>
      </w:r>
      <w:r w:rsidR="00A4411F" w:rsidRPr="00920905">
        <w:rPr>
          <w:rFonts w:asciiTheme="minorHAnsi" w:hAnsiTheme="minorHAnsi"/>
        </w:rPr>
        <w:t>5.1</w:t>
      </w:r>
      <w:r w:rsidR="000225A3">
        <w:rPr>
          <w:rFonts w:asciiTheme="minorHAnsi" w:hAnsiTheme="minorHAnsi"/>
        </w:rPr>
        <w:t xml:space="preserve"> United States Industrial Electric Motor Systems Market Opportunities Assessment</w:t>
      </w:r>
      <w:r w:rsidR="00FF36DD">
        <w:rPr>
          <w:rFonts w:asciiTheme="minorHAnsi" w:hAnsiTheme="minorHAnsi"/>
        </w:rPr>
        <w:t xml:space="preserve"> (December 2002)</w:t>
      </w:r>
      <w:r w:rsidR="00FF36DD" w:rsidRPr="00FF36DD">
        <w:t xml:space="preserve"> </w:t>
      </w:r>
      <w:r w:rsidR="00FF36DD" w:rsidRPr="003A7574">
        <w:rPr>
          <w:rStyle w:val="EndnoteReference"/>
        </w:rPr>
        <w:endnoteReference w:id="4"/>
      </w:r>
    </w:p>
    <w:p w14:paraId="21DBBE5F" w14:textId="2135E1EA" w:rsidR="00FF36DD" w:rsidRPr="00FF36DD" w:rsidRDefault="00FF36DD" w:rsidP="00FF36DD">
      <w:r w:rsidRPr="003A7574">
        <w:t>Electric motors account for approximately 52% of the US electricity use. In California, it is estimated that the energy use of electric motors accounts for approximately 57% of electricity used in the industrial sector, 22% of the electricity used in the commercial sector, and 80% of the electricity used in the agricultural sector</w:t>
      </w:r>
      <w:r w:rsidRPr="003A7574">
        <w:rPr>
          <w:vertAlign w:val="superscript"/>
        </w:rPr>
        <w:t>7</w:t>
      </w:r>
      <w:r w:rsidRPr="003A7574">
        <w:t xml:space="preserve">. Space cooling, ventilation, and refrigeration dominate commercial-sector motor use. Pumps, fans, compressed air and refrigeration accounts for </w:t>
      </w:r>
      <w:r>
        <w:t>61% of industrial motor use.</w:t>
      </w:r>
    </w:p>
    <w:p w14:paraId="04FF0758" w14:textId="77777777" w:rsidR="00FF36DD" w:rsidRPr="009844A1" w:rsidRDefault="00FF36DD" w:rsidP="00FF36DD">
      <w:pPr>
        <w:pStyle w:val="ListParagraph"/>
        <w:rPr>
          <w:rFonts w:cs="Arial"/>
          <w:color w:val="FF0000"/>
          <w:szCs w:val="22"/>
        </w:rPr>
      </w:pPr>
    </w:p>
    <w:p w14:paraId="5274C3FC" w14:textId="2D601CA3" w:rsidR="00602F18" w:rsidRDefault="009844A1" w:rsidP="009A0E1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B3765B7" w14:textId="77777777" w:rsidR="009A0E11" w:rsidRPr="009A0E11" w:rsidRDefault="009A0E11" w:rsidP="009A0E11"/>
    <w:p w14:paraId="1883DE06" w14:textId="251BBA37" w:rsidR="00FF36DD" w:rsidRPr="005F1962" w:rsidRDefault="00E16609" w:rsidP="005F1962">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bookmarkStart w:id="16" w:name="_Toc214003093"/>
    </w:p>
    <w:p w14:paraId="37061EDD" w14:textId="77777777" w:rsidR="00FF36DD" w:rsidRPr="003A7574" w:rsidRDefault="00FF36DD" w:rsidP="00FF36DD">
      <w:r w:rsidRPr="003A7574">
        <w:rPr>
          <w:b/>
        </w:rPr>
        <w:t>Hours of Operation</w:t>
      </w:r>
      <w:r w:rsidRPr="003A7574">
        <w:t xml:space="preserve">: </w:t>
      </w:r>
    </w:p>
    <w:p w14:paraId="00DAC4CD" w14:textId="77777777" w:rsidR="00FF36DD" w:rsidRDefault="00FF36DD" w:rsidP="00FF36DD">
      <w:pPr>
        <w:spacing w:after="120"/>
        <w:rPr>
          <w:i/>
        </w:rPr>
      </w:pPr>
      <w:r w:rsidRPr="000A2D31">
        <w:rPr>
          <w:i/>
        </w:rPr>
        <w:t>Weighted Sector Hours of Operation</w:t>
      </w:r>
    </w:p>
    <w:p w14:paraId="63BCAF02" w14:textId="77777777" w:rsidR="00FF36DD" w:rsidRDefault="00FF36DD" w:rsidP="00FF36DD">
      <w:pPr>
        <w:spacing w:after="120"/>
      </w:pPr>
      <w:r>
        <w:t xml:space="preserve">The operating hours for each customer sector – industrial, agricultural, and commercial - were weighted by sector allocation within PG&amp;E’s service territory to calculate the combined average operating </w:t>
      </w:r>
      <w:r w:rsidRPr="003A7574">
        <w:t>hours by horsepower. The CPUC Energy Division Phase 2 Workpaper Review and Measure Disposition</w:t>
      </w:r>
      <w:r w:rsidRPr="003A7574">
        <w:rPr>
          <w:vertAlign w:val="superscript"/>
        </w:rPr>
        <w:t>7</w:t>
      </w:r>
      <w:r w:rsidRPr="003A7574">
        <w:t xml:space="preserve"> presents the percentage of energy used by sector in California, the percentage of energy used by motors within</w:t>
      </w:r>
      <w:r>
        <w:t xml:space="preserve"> each sector, and finally, the percentage of total motor energy allocated by sector. These values are presented in Table 4 below. </w:t>
      </w:r>
    </w:p>
    <w:p w14:paraId="5892C4F4" w14:textId="77777777" w:rsidR="00FF36DD" w:rsidRPr="003807A9" w:rsidRDefault="00FF36DD" w:rsidP="00FF36DD">
      <w:pPr>
        <w:pStyle w:val="Caption"/>
        <w:jc w:val="center"/>
        <w:rPr>
          <w:sz w:val="24"/>
        </w:rPr>
      </w:pPr>
      <w:bookmarkStart w:id="17" w:name="_Toc326924510"/>
      <w:r w:rsidRPr="003807A9">
        <w:rPr>
          <w:sz w:val="24"/>
        </w:rPr>
        <w:t xml:space="preserve">Table </w:t>
      </w:r>
      <w:r w:rsidRPr="003807A9">
        <w:rPr>
          <w:sz w:val="24"/>
        </w:rPr>
        <w:fldChar w:fldCharType="begin"/>
      </w:r>
      <w:r w:rsidRPr="003807A9">
        <w:rPr>
          <w:sz w:val="24"/>
        </w:rPr>
        <w:instrText xml:space="preserve"> SEQ Table \* ARABIC </w:instrText>
      </w:r>
      <w:r w:rsidRPr="003807A9">
        <w:rPr>
          <w:sz w:val="24"/>
        </w:rPr>
        <w:fldChar w:fldCharType="separate"/>
      </w:r>
      <w:r>
        <w:rPr>
          <w:noProof/>
          <w:sz w:val="24"/>
        </w:rPr>
        <w:t>4</w:t>
      </w:r>
      <w:r w:rsidRPr="003807A9">
        <w:rPr>
          <w:sz w:val="24"/>
        </w:rPr>
        <w:fldChar w:fldCharType="end"/>
      </w:r>
      <w:r w:rsidRPr="003807A9">
        <w:rPr>
          <w:sz w:val="24"/>
        </w:rPr>
        <w:t xml:space="preserve">: </w:t>
      </w:r>
      <w:r>
        <w:rPr>
          <w:b w:val="0"/>
          <w:sz w:val="24"/>
        </w:rPr>
        <w:t>Percentage of</w:t>
      </w:r>
      <w:r w:rsidRPr="00A05F0C">
        <w:rPr>
          <w:b w:val="0"/>
          <w:sz w:val="24"/>
        </w:rPr>
        <w:t xml:space="preserve"> Motor</w:t>
      </w:r>
      <w:r>
        <w:rPr>
          <w:b w:val="0"/>
          <w:sz w:val="24"/>
        </w:rPr>
        <w:t xml:space="preserve"> Speeds by Motor Type</w:t>
      </w:r>
      <w:bookmarkEnd w:id="17"/>
    </w:p>
    <w:tbl>
      <w:tblPr>
        <w:tblW w:w="5932" w:type="dxa"/>
        <w:jc w:val="center"/>
        <w:tblInd w:w="103"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205"/>
        <w:gridCol w:w="1039"/>
        <w:gridCol w:w="1802"/>
        <w:gridCol w:w="1886"/>
      </w:tblGrid>
      <w:tr w:rsidR="00FF36DD" w:rsidRPr="00BF2AD7" w14:paraId="01E18D5A" w14:textId="77777777" w:rsidTr="00B823EB">
        <w:trPr>
          <w:trHeight w:val="711"/>
          <w:jc w:val="center"/>
        </w:trPr>
        <w:tc>
          <w:tcPr>
            <w:tcW w:w="1205" w:type="dxa"/>
            <w:shd w:val="clear" w:color="auto" w:fill="000000"/>
            <w:noWrap/>
            <w:vAlign w:val="center"/>
          </w:tcPr>
          <w:p w14:paraId="119AB928" w14:textId="77777777" w:rsidR="00FF36DD" w:rsidRPr="00BB0C0D" w:rsidRDefault="00FF36DD" w:rsidP="00B823EB">
            <w:pPr>
              <w:jc w:val="center"/>
              <w:rPr>
                <w:b/>
                <w:bCs/>
                <w:color w:val="FFFFFF"/>
                <w:sz w:val="20"/>
                <w:szCs w:val="20"/>
              </w:rPr>
            </w:pPr>
            <w:r w:rsidRPr="00BB0C0D">
              <w:rPr>
                <w:b/>
                <w:bCs/>
                <w:color w:val="FFFFFF"/>
                <w:sz w:val="20"/>
                <w:szCs w:val="20"/>
              </w:rPr>
              <w:t>Sector</w:t>
            </w:r>
          </w:p>
        </w:tc>
        <w:tc>
          <w:tcPr>
            <w:tcW w:w="1039" w:type="dxa"/>
            <w:shd w:val="clear" w:color="auto" w:fill="000000"/>
            <w:noWrap/>
            <w:vAlign w:val="center"/>
          </w:tcPr>
          <w:p w14:paraId="77BDF850" w14:textId="77777777" w:rsidR="00FF36DD" w:rsidRPr="00BB0C0D" w:rsidRDefault="00FF36DD" w:rsidP="00B823EB">
            <w:pPr>
              <w:jc w:val="center"/>
              <w:rPr>
                <w:b/>
                <w:bCs/>
                <w:color w:val="FFFFFF"/>
                <w:sz w:val="20"/>
                <w:szCs w:val="20"/>
              </w:rPr>
            </w:pPr>
            <w:r w:rsidRPr="00BB0C0D">
              <w:rPr>
                <w:b/>
                <w:bCs/>
                <w:color w:val="FFFFFF"/>
                <w:sz w:val="20"/>
                <w:szCs w:val="20"/>
              </w:rPr>
              <w:t>%Energy Use By Sector</w:t>
            </w:r>
          </w:p>
        </w:tc>
        <w:tc>
          <w:tcPr>
            <w:tcW w:w="1802" w:type="dxa"/>
            <w:shd w:val="clear" w:color="auto" w:fill="000000"/>
            <w:noWrap/>
            <w:vAlign w:val="center"/>
          </w:tcPr>
          <w:p w14:paraId="4DEC0B86" w14:textId="77777777" w:rsidR="00FF36DD" w:rsidRPr="00BB0C0D" w:rsidRDefault="00FF36DD" w:rsidP="00B823EB">
            <w:pPr>
              <w:jc w:val="center"/>
              <w:rPr>
                <w:b/>
                <w:bCs/>
                <w:color w:val="FFFFFF"/>
                <w:sz w:val="20"/>
                <w:szCs w:val="20"/>
              </w:rPr>
            </w:pPr>
            <w:r w:rsidRPr="00BB0C0D">
              <w:rPr>
                <w:b/>
                <w:bCs/>
                <w:color w:val="FFFFFF"/>
                <w:sz w:val="20"/>
                <w:szCs w:val="20"/>
              </w:rPr>
              <w:t>% Energy Used By Motors Per Sector</w:t>
            </w:r>
          </w:p>
        </w:tc>
        <w:tc>
          <w:tcPr>
            <w:tcW w:w="1886" w:type="dxa"/>
            <w:shd w:val="clear" w:color="auto" w:fill="000000"/>
            <w:vAlign w:val="center"/>
          </w:tcPr>
          <w:p w14:paraId="7382F442" w14:textId="77777777" w:rsidR="00FF36DD" w:rsidRPr="00BB0C0D" w:rsidRDefault="00FF36DD" w:rsidP="00B823EB">
            <w:pPr>
              <w:jc w:val="center"/>
              <w:rPr>
                <w:b/>
                <w:bCs/>
                <w:color w:val="FFFFFF"/>
                <w:sz w:val="20"/>
                <w:szCs w:val="20"/>
              </w:rPr>
            </w:pPr>
            <w:r w:rsidRPr="00BB0C0D">
              <w:rPr>
                <w:b/>
                <w:bCs/>
                <w:color w:val="FFFFFF"/>
                <w:sz w:val="20"/>
                <w:szCs w:val="20"/>
              </w:rPr>
              <w:t>% of Motor Energy Usage By Sector</w:t>
            </w:r>
          </w:p>
        </w:tc>
      </w:tr>
      <w:tr w:rsidR="00FF36DD" w14:paraId="3A6DD492" w14:textId="77777777" w:rsidTr="00B823EB">
        <w:trPr>
          <w:trHeight w:val="255"/>
          <w:jc w:val="center"/>
        </w:trPr>
        <w:tc>
          <w:tcPr>
            <w:tcW w:w="1205" w:type="dxa"/>
            <w:shd w:val="clear" w:color="auto" w:fill="C0C0C0"/>
            <w:noWrap/>
            <w:vAlign w:val="center"/>
          </w:tcPr>
          <w:p w14:paraId="44F87576" w14:textId="77777777" w:rsidR="00FF36DD" w:rsidRPr="00BB0C0D" w:rsidRDefault="00FF36DD" w:rsidP="00B823EB">
            <w:pPr>
              <w:jc w:val="center"/>
              <w:rPr>
                <w:bCs/>
                <w:sz w:val="20"/>
                <w:szCs w:val="20"/>
              </w:rPr>
            </w:pPr>
            <w:r w:rsidRPr="00BB0C0D">
              <w:rPr>
                <w:bCs/>
                <w:sz w:val="20"/>
                <w:szCs w:val="20"/>
              </w:rPr>
              <w:t>Commercial</w:t>
            </w:r>
          </w:p>
        </w:tc>
        <w:tc>
          <w:tcPr>
            <w:tcW w:w="1039" w:type="dxa"/>
            <w:shd w:val="clear" w:color="auto" w:fill="C0C0C0"/>
            <w:noWrap/>
            <w:vAlign w:val="center"/>
          </w:tcPr>
          <w:p w14:paraId="0ABEF974" w14:textId="77777777" w:rsidR="00FF36DD" w:rsidRPr="00BB0C0D" w:rsidRDefault="00FF36DD" w:rsidP="00B823EB">
            <w:pPr>
              <w:jc w:val="center"/>
              <w:rPr>
                <w:bCs/>
                <w:sz w:val="20"/>
                <w:szCs w:val="20"/>
              </w:rPr>
            </w:pPr>
            <w:r w:rsidRPr="00BB0C0D">
              <w:rPr>
                <w:bCs/>
                <w:sz w:val="20"/>
                <w:szCs w:val="20"/>
              </w:rPr>
              <w:t>69%</w:t>
            </w:r>
          </w:p>
        </w:tc>
        <w:tc>
          <w:tcPr>
            <w:tcW w:w="1802" w:type="dxa"/>
            <w:shd w:val="clear" w:color="auto" w:fill="C0C0C0"/>
            <w:noWrap/>
            <w:vAlign w:val="center"/>
          </w:tcPr>
          <w:p w14:paraId="5B74897E" w14:textId="77777777" w:rsidR="00FF36DD" w:rsidRPr="00BB0C0D" w:rsidRDefault="00FF36DD" w:rsidP="00B823EB">
            <w:pPr>
              <w:jc w:val="center"/>
              <w:rPr>
                <w:bCs/>
                <w:sz w:val="20"/>
                <w:szCs w:val="20"/>
              </w:rPr>
            </w:pPr>
            <w:r w:rsidRPr="00BB0C0D">
              <w:rPr>
                <w:bCs/>
                <w:sz w:val="20"/>
                <w:szCs w:val="20"/>
              </w:rPr>
              <w:t>22%</w:t>
            </w:r>
          </w:p>
        </w:tc>
        <w:tc>
          <w:tcPr>
            <w:tcW w:w="1886" w:type="dxa"/>
            <w:shd w:val="clear" w:color="auto" w:fill="C0C0C0"/>
            <w:noWrap/>
            <w:vAlign w:val="center"/>
          </w:tcPr>
          <w:p w14:paraId="20CB8303" w14:textId="77777777" w:rsidR="00FF36DD" w:rsidRPr="00BB0C0D" w:rsidRDefault="00FF36DD" w:rsidP="00B823EB">
            <w:pPr>
              <w:jc w:val="center"/>
              <w:rPr>
                <w:bCs/>
                <w:sz w:val="20"/>
                <w:szCs w:val="20"/>
              </w:rPr>
            </w:pPr>
            <w:r w:rsidRPr="00BB0C0D">
              <w:rPr>
                <w:bCs/>
                <w:sz w:val="20"/>
                <w:szCs w:val="20"/>
              </w:rPr>
              <w:t>43%</w:t>
            </w:r>
          </w:p>
        </w:tc>
      </w:tr>
      <w:tr w:rsidR="00FF36DD" w14:paraId="085B2C86" w14:textId="77777777" w:rsidTr="00B823EB">
        <w:trPr>
          <w:trHeight w:val="255"/>
          <w:jc w:val="center"/>
        </w:trPr>
        <w:tc>
          <w:tcPr>
            <w:tcW w:w="1205" w:type="dxa"/>
            <w:shd w:val="clear" w:color="auto" w:fill="F2F2F2"/>
            <w:noWrap/>
            <w:vAlign w:val="center"/>
          </w:tcPr>
          <w:p w14:paraId="2280ADA6" w14:textId="77777777" w:rsidR="00FF36DD" w:rsidRPr="00BB0C0D" w:rsidRDefault="00FF36DD" w:rsidP="00B823EB">
            <w:pPr>
              <w:jc w:val="center"/>
              <w:rPr>
                <w:bCs/>
                <w:sz w:val="20"/>
                <w:szCs w:val="20"/>
              </w:rPr>
            </w:pPr>
            <w:r w:rsidRPr="00BB0C0D">
              <w:rPr>
                <w:bCs/>
                <w:sz w:val="20"/>
                <w:szCs w:val="20"/>
              </w:rPr>
              <w:t>Industrial</w:t>
            </w:r>
          </w:p>
        </w:tc>
        <w:tc>
          <w:tcPr>
            <w:tcW w:w="1039" w:type="dxa"/>
            <w:shd w:val="clear" w:color="auto" w:fill="F3F3F3"/>
            <w:noWrap/>
            <w:vAlign w:val="center"/>
          </w:tcPr>
          <w:p w14:paraId="3D926D28" w14:textId="77777777" w:rsidR="00FF36DD" w:rsidRPr="00BB0C0D" w:rsidRDefault="00FF36DD" w:rsidP="00B823EB">
            <w:pPr>
              <w:jc w:val="center"/>
              <w:rPr>
                <w:bCs/>
                <w:sz w:val="20"/>
                <w:szCs w:val="20"/>
              </w:rPr>
            </w:pPr>
            <w:r w:rsidRPr="00BB0C0D">
              <w:rPr>
                <w:bCs/>
                <w:sz w:val="20"/>
                <w:szCs w:val="20"/>
              </w:rPr>
              <w:t>21%</w:t>
            </w:r>
          </w:p>
        </w:tc>
        <w:tc>
          <w:tcPr>
            <w:tcW w:w="1802" w:type="dxa"/>
            <w:shd w:val="clear" w:color="auto" w:fill="F3F3F3"/>
            <w:noWrap/>
            <w:vAlign w:val="center"/>
          </w:tcPr>
          <w:p w14:paraId="357265AF" w14:textId="77777777" w:rsidR="00FF36DD" w:rsidRPr="00BB0C0D" w:rsidRDefault="00FF36DD" w:rsidP="00B823EB">
            <w:pPr>
              <w:jc w:val="center"/>
              <w:rPr>
                <w:bCs/>
                <w:sz w:val="20"/>
                <w:szCs w:val="20"/>
              </w:rPr>
            </w:pPr>
            <w:r w:rsidRPr="00BB0C0D">
              <w:rPr>
                <w:bCs/>
                <w:sz w:val="20"/>
                <w:szCs w:val="20"/>
              </w:rPr>
              <w:t>57%</w:t>
            </w:r>
          </w:p>
        </w:tc>
        <w:tc>
          <w:tcPr>
            <w:tcW w:w="1886" w:type="dxa"/>
            <w:shd w:val="clear" w:color="auto" w:fill="F3F3F3"/>
            <w:noWrap/>
            <w:vAlign w:val="center"/>
          </w:tcPr>
          <w:p w14:paraId="00B3AF5D" w14:textId="77777777" w:rsidR="00FF36DD" w:rsidRPr="00BB0C0D" w:rsidRDefault="00FF36DD" w:rsidP="00B823EB">
            <w:pPr>
              <w:jc w:val="center"/>
              <w:rPr>
                <w:bCs/>
                <w:sz w:val="20"/>
                <w:szCs w:val="20"/>
              </w:rPr>
            </w:pPr>
            <w:r w:rsidRPr="00BB0C0D">
              <w:rPr>
                <w:bCs/>
                <w:sz w:val="20"/>
                <w:szCs w:val="20"/>
              </w:rPr>
              <w:t>34%</w:t>
            </w:r>
          </w:p>
        </w:tc>
      </w:tr>
      <w:tr w:rsidR="00FF36DD" w14:paraId="7084826E" w14:textId="77777777" w:rsidTr="00B823EB">
        <w:trPr>
          <w:trHeight w:val="255"/>
          <w:jc w:val="center"/>
        </w:trPr>
        <w:tc>
          <w:tcPr>
            <w:tcW w:w="1205" w:type="dxa"/>
            <w:shd w:val="clear" w:color="auto" w:fill="C0C0C0"/>
            <w:noWrap/>
            <w:vAlign w:val="center"/>
          </w:tcPr>
          <w:p w14:paraId="2CC7CAD4" w14:textId="77777777" w:rsidR="00FF36DD" w:rsidRPr="00BB0C0D" w:rsidRDefault="00FF36DD" w:rsidP="00B823EB">
            <w:pPr>
              <w:jc w:val="center"/>
              <w:rPr>
                <w:bCs/>
                <w:sz w:val="20"/>
                <w:szCs w:val="20"/>
              </w:rPr>
            </w:pPr>
            <w:r w:rsidRPr="00BB0C0D">
              <w:rPr>
                <w:bCs/>
                <w:sz w:val="20"/>
                <w:szCs w:val="20"/>
              </w:rPr>
              <w:t>Agriculture</w:t>
            </w:r>
          </w:p>
        </w:tc>
        <w:tc>
          <w:tcPr>
            <w:tcW w:w="1039" w:type="dxa"/>
            <w:shd w:val="clear" w:color="auto" w:fill="C0C0C0"/>
            <w:noWrap/>
            <w:vAlign w:val="center"/>
          </w:tcPr>
          <w:p w14:paraId="07BCE433" w14:textId="77777777" w:rsidR="00FF36DD" w:rsidRPr="00BB0C0D" w:rsidRDefault="00FF36DD" w:rsidP="00B823EB">
            <w:pPr>
              <w:jc w:val="center"/>
              <w:rPr>
                <w:bCs/>
                <w:sz w:val="20"/>
                <w:szCs w:val="20"/>
              </w:rPr>
            </w:pPr>
            <w:r w:rsidRPr="00BB0C0D">
              <w:rPr>
                <w:bCs/>
                <w:sz w:val="20"/>
                <w:szCs w:val="20"/>
              </w:rPr>
              <w:t>10%</w:t>
            </w:r>
          </w:p>
        </w:tc>
        <w:tc>
          <w:tcPr>
            <w:tcW w:w="1802" w:type="dxa"/>
            <w:shd w:val="clear" w:color="auto" w:fill="C0C0C0"/>
            <w:noWrap/>
            <w:vAlign w:val="center"/>
          </w:tcPr>
          <w:p w14:paraId="748B24B2" w14:textId="77777777" w:rsidR="00FF36DD" w:rsidRPr="00BB0C0D" w:rsidRDefault="00FF36DD" w:rsidP="00B823EB">
            <w:pPr>
              <w:jc w:val="center"/>
              <w:rPr>
                <w:bCs/>
                <w:sz w:val="20"/>
                <w:szCs w:val="20"/>
              </w:rPr>
            </w:pPr>
            <w:r w:rsidRPr="00BB0C0D">
              <w:rPr>
                <w:bCs/>
                <w:sz w:val="20"/>
                <w:szCs w:val="20"/>
              </w:rPr>
              <w:t>80%</w:t>
            </w:r>
          </w:p>
        </w:tc>
        <w:tc>
          <w:tcPr>
            <w:tcW w:w="1886" w:type="dxa"/>
            <w:shd w:val="clear" w:color="auto" w:fill="C0C0C0"/>
            <w:noWrap/>
            <w:vAlign w:val="center"/>
          </w:tcPr>
          <w:p w14:paraId="190BB0A6" w14:textId="77777777" w:rsidR="00FF36DD" w:rsidRPr="00BB0C0D" w:rsidRDefault="00FF36DD" w:rsidP="00B823EB">
            <w:pPr>
              <w:jc w:val="center"/>
              <w:rPr>
                <w:bCs/>
                <w:sz w:val="20"/>
                <w:szCs w:val="20"/>
              </w:rPr>
            </w:pPr>
            <w:r w:rsidRPr="00BB0C0D">
              <w:rPr>
                <w:bCs/>
                <w:sz w:val="20"/>
                <w:szCs w:val="20"/>
              </w:rPr>
              <w:t>23%</w:t>
            </w:r>
          </w:p>
        </w:tc>
      </w:tr>
    </w:tbl>
    <w:p w14:paraId="268CA3A8" w14:textId="77777777" w:rsidR="00FF36DD" w:rsidRDefault="00FF36DD" w:rsidP="00FF36DD">
      <w:pPr>
        <w:spacing w:after="120"/>
      </w:pPr>
    </w:p>
    <w:p w14:paraId="7C6F3ADF" w14:textId="77777777" w:rsidR="00FF36DD" w:rsidRDefault="00FF36DD" w:rsidP="00FF36DD">
      <w:pPr>
        <w:spacing w:after="120"/>
      </w:pPr>
      <w:r>
        <w:t xml:space="preserve">Based on the percentage of total motor energy allocated by sector, the hours of operation were weighted for each motor size group. Table 5 (below) presents the weighted hours of operation. </w:t>
      </w:r>
    </w:p>
    <w:p w14:paraId="52326ADB" w14:textId="77777777" w:rsidR="00FF36DD" w:rsidRPr="00AB2C34" w:rsidRDefault="00FF36DD" w:rsidP="00FF36DD">
      <w:pPr>
        <w:pStyle w:val="Caption"/>
        <w:jc w:val="center"/>
        <w:rPr>
          <w:b w:val="0"/>
          <w:bCs w:val="0"/>
          <w:sz w:val="24"/>
          <w:szCs w:val="24"/>
        </w:rPr>
      </w:pPr>
      <w:bookmarkStart w:id="18" w:name="_Toc326924511"/>
      <w:r w:rsidRPr="003807A9">
        <w:rPr>
          <w:sz w:val="24"/>
        </w:rPr>
        <w:t xml:space="preserve">Table </w:t>
      </w:r>
      <w:r w:rsidRPr="003807A9">
        <w:rPr>
          <w:sz w:val="24"/>
        </w:rPr>
        <w:fldChar w:fldCharType="begin"/>
      </w:r>
      <w:r w:rsidRPr="003807A9">
        <w:rPr>
          <w:sz w:val="24"/>
        </w:rPr>
        <w:instrText xml:space="preserve"> SEQ Table \* ARABIC </w:instrText>
      </w:r>
      <w:r w:rsidRPr="003807A9">
        <w:rPr>
          <w:sz w:val="24"/>
        </w:rPr>
        <w:fldChar w:fldCharType="separate"/>
      </w:r>
      <w:r>
        <w:rPr>
          <w:noProof/>
          <w:sz w:val="24"/>
        </w:rPr>
        <w:t>5</w:t>
      </w:r>
      <w:r w:rsidRPr="003807A9">
        <w:rPr>
          <w:sz w:val="24"/>
        </w:rPr>
        <w:fldChar w:fldCharType="end"/>
      </w:r>
      <w:r w:rsidRPr="00AB2C34">
        <w:rPr>
          <w:b w:val="0"/>
          <w:bCs w:val="0"/>
          <w:sz w:val="24"/>
          <w:szCs w:val="24"/>
        </w:rPr>
        <w:t>:</w:t>
      </w:r>
      <w:r>
        <w:rPr>
          <w:b w:val="0"/>
          <w:bCs w:val="0"/>
          <w:sz w:val="24"/>
          <w:szCs w:val="24"/>
        </w:rPr>
        <w:t xml:space="preserve"> Annual Hours of Operation for Electric Motors</w:t>
      </w:r>
      <w:bookmarkEnd w:id="18"/>
    </w:p>
    <w:tbl>
      <w:tblPr>
        <w:tblW w:w="7245" w:type="dxa"/>
        <w:jc w:val="center"/>
        <w:tblBorders>
          <w:insideH w:val="single" w:sz="18" w:space="0" w:color="FFFFFF"/>
          <w:insideV w:val="single" w:sz="18" w:space="0" w:color="FFFFFF"/>
        </w:tblBorders>
        <w:tblLook w:val="0000" w:firstRow="0" w:lastRow="0" w:firstColumn="0" w:lastColumn="0" w:noHBand="0" w:noVBand="0"/>
      </w:tblPr>
      <w:tblGrid>
        <w:gridCol w:w="4343"/>
        <w:gridCol w:w="2902"/>
      </w:tblGrid>
      <w:tr w:rsidR="00FF36DD" w:rsidRPr="00B95B73" w14:paraId="5FD5B7ED" w14:textId="77777777" w:rsidTr="00B823EB">
        <w:trPr>
          <w:trHeight w:val="216"/>
          <w:jc w:val="center"/>
        </w:trPr>
        <w:tc>
          <w:tcPr>
            <w:tcW w:w="4343" w:type="dxa"/>
            <w:tcBorders>
              <w:top w:val="nil"/>
            </w:tcBorders>
            <w:shd w:val="solid" w:color="000000" w:fill="FFFFFF"/>
            <w:noWrap/>
            <w:vAlign w:val="center"/>
          </w:tcPr>
          <w:p w14:paraId="733A387C" w14:textId="77777777" w:rsidR="00FF36DD" w:rsidRPr="00B95B73" w:rsidRDefault="00FF36DD" w:rsidP="00B823EB">
            <w:pPr>
              <w:jc w:val="center"/>
              <w:rPr>
                <w:b/>
                <w:bCs/>
                <w:color w:val="FFFFFF"/>
                <w:sz w:val="20"/>
                <w:szCs w:val="20"/>
              </w:rPr>
            </w:pPr>
            <w:r w:rsidRPr="00B95B73">
              <w:rPr>
                <w:b/>
                <w:bCs/>
                <w:color w:val="FFFFFF"/>
                <w:sz w:val="20"/>
                <w:szCs w:val="20"/>
              </w:rPr>
              <w:t>Motor Size Category (</w:t>
            </w:r>
            <w:r>
              <w:rPr>
                <w:b/>
                <w:bCs/>
                <w:color w:val="FFFFFF"/>
                <w:sz w:val="20"/>
                <w:szCs w:val="20"/>
              </w:rPr>
              <w:t>hp</w:t>
            </w:r>
            <w:r w:rsidRPr="00B95B73">
              <w:rPr>
                <w:b/>
                <w:bCs/>
                <w:color w:val="FFFFFF"/>
                <w:sz w:val="20"/>
                <w:szCs w:val="20"/>
              </w:rPr>
              <w:t>)</w:t>
            </w:r>
          </w:p>
        </w:tc>
        <w:tc>
          <w:tcPr>
            <w:tcW w:w="2902" w:type="dxa"/>
            <w:tcBorders>
              <w:top w:val="nil"/>
            </w:tcBorders>
            <w:shd w:val="solid" w:color="000000" w:fill="FFFFFF"/>
            <w:noWrap/>
            <w:vAlign w:val="center"/>
          </w:tcPr>
          <w:p w14:paraId="1B95E097" w14:textId="77777777" w:rsidR="00FF36DD" w:rsidRPr="00B95B73" w:rsidRDefault="00FF36DD" w:rsidP="00B823EB">
            <w:pPr>
              <w:jc w:val="center"/>
              <w:rPr>
                <w:b/>
                <w:bCs/>
                <w:color w:val="FFFFFF"/>
                <w:sz w:val="20"/>
                <w:szCs w:val="20"/>
              </w:rPr>
            </w:pPr>
            <w:r w:rsidRPr="00B95B73">
              <w:rPr>
                <w:b/>
                <w:bCs/>
                <w:color w:val="FFFFFF"/>
                <w:sz w:val="20"/>
                <w:szCs w:val="20"/>
              </w:rPr>
              <w:t>Annual Hours</w:t>
            </w:r>
          </w:p>
        </w:tc>
      </w:tr>
      <w:tr w:rsidR="00FF36DD" w:rsidRPr="00B95B73" w14:paraId="669A32FE" w14:textId="77777777" w:rsidTr="00B823EB">
        <w:trPr>
          <w:trHeight w:val="216"/>
          <w:jc w:val="center"/>
        </w:trPr>
        <w:tc>
          <w:tcPr>
            <w:tcW w:w="4343" w:type="dxa"/>
            <w:shd w:val="pct20" w:color="000000" w:fill="FFFFFF"/>
            <w:noWrap/>
            <w:vAlign w:val="center"/>
          </w:tcPr>
          <w:p w14:paraId="24FDEC58" w14:textId="77777777" w:rsidR="00FF36DD" w:rsidRPr="00B95B73" w:rsidRDefault="00FF36DD" w:rsidP="00B823EB">
            <w:pPr>
              <w:jc w:val="center"/>
              <w:rPr>
                <w:bCs/>
                <w:sz w:val="20"/>
                <w:szCs w:val="20"/>
              </w:rPr>
            </w:pPr>
            <w:r w:rsidRPr="00B95B73">
              <w:rPr>
                <w:bCs/>
                <w:sz w:val="20"/>
                <w:szCs w:val="20"/>
              </w:rPr>
              <w:t xml:space="preserve">1 </w:t>
            </w:r>
            <w:r>
              <w:rPr>
                <w:bCs/>
                <w:sz w:val="20"/>
                <w:szCs w:val="20"/>
              </w:rPr>
              <w:t>through</w:t>
            </w:r>
            <w:r w:rsidRPr="00B95B73">
              <w:rPr>
                <w:bCs/>
                <w:sz w:val="20"/>
                <w:szCs w:val="20"/>
              </w:rPr>
              <w:t xml:space="preserve"> 5</w:t>
            </w:r>
          </w:p>
        </w:tc>
        <w:tc>
          <w:tcPr>
            <w:tcW w:w="2902" w:type="dxa"/>
            <w:shd w:val="pct20" w:color="000000" w:fill="FFFFFF"/>
            <w:noWrap/>
            <w:vAlign w:val="center"/>
          </w:tcPr>
          <w:p w14:paraId="3C60BF5D" w14:textId="77777777" w:rsidR="00FF36DD" w:rsidRPr="00BB0C0D" w:rsidRDefault="00FF36DD" w:rsidP="00B823EB">
            <w:pPr>
              <w:jc w:val="center"/>
              <w:rPr>
                <w:bCs/>
                <w:sz w:val="20"/>
                <w:szCs w:val="20"/>
              </w:rPr>
            </w:pPr>
            <w:r w:rsidRPr="00BB0C0D">
              <w:rPr>
                <w:bCs/>
                <w:sz w:val="20"/>
                <w:szCs w:val="20"/>
              </w:rPr>
              <w:t>1,657</w:t>
            </w:r>
          </w:p>
        </w:tc>
      </w:tr>
      <w:tr w:rsidR="00FF36DD" w:rsidRPr="00B95B73" w14:paraId="2A43BBF6" w14:textId="77777777" w:rsidTr="00B823EB">
        <w:trPr>
          <w:trHeight w:val="216"/>
          <w:jc w:val="center"/>
        </w:trPr>
        <w:tc>
          <w:tcPr>
            <w:tcW w:w="4343" w:type="dxa"/>
            <w:shd w:val="pct5" w:color="000000" w:fill="FFFFFF"/>
            <w:noWrap/>
            <w:vAlign w:val="center"/>
          </w:tcPr>
          <w:p w14:paraId="44A31CCE" w14:textId="77777777" w:rsidR="00FF36DD" w:rsidRPr="00B95B73" w:rsidRDefault="00FF36DD" w:rsidP="00B823EB">
            <w:pPr>
              <w:jc w:val="center"/>
              <w:rPr>
                <w:bCs/>
                <w:sz w:val="20"/>
                <w:szCs w:val="20"/>
              </w:rPr>
            </w:pPr>
            <w:r w:rsidRPr="00B95B73">
              <w:rPr>
                <w:bCs/>
                <w:sz w:val="20"/>
                <w:szCs w:val="20"/>
              </w:rPr>
              <w:t xml:space="preserve">6 </w:t>
            </w:r>
            <w:r>
              <w:rPr>
                <w:bCs/>
                <w:sz w:val="20"/>
                <w:szCs w:val="20"/>
              </w:rPr>
              <w:t>through</w:t>
            </w:r>
            <w:r w:rsidRPr="00B95B73">
              <w:rPr>
                <w:bCs/>
                <w:sz w:val="20"/>
                <w:szCs w:val="20"/>
              </w:rPr>
              <w:t xml:space="preserve"> </w:t>
            </w:r>
            <w:r>
              <w:rPr>
                <w:bCs/>
                <w:sz w:val="20"/>
                <w:szCs w:val="20"/>
              </w:rPr>
              <w:t>15</w:t>
            </w:r>
          </w:p>
        </w:tc>
        <w:tc>
          <w:tcPr>
            <w:tcW w:w="2902" w:type="dxa"/>
            <w:shd w:val="pct5" w:color="000000" w:fill="FFFFFF"/>
            <w:noWrap/>
            <w:vAlign w:val="center"/>
          </w:tcPr>
          <w:p w14:paraId="4094DF35" w14:textId="77777777" w:rsidR="00FF36DD" w:rsidRPr="00BB0C0D" w:rsidRDefault="00FF36DD" w:rsidP="00B823EB">
            <w:pPr>
              <w:jc w:val="center"/>
              <w:rPr>
                <w:bCs/>
                <w:sz w:val="20"/>
                <w:szCs w:val="20"/>
              </w:rPr>
            </w:pPr>
            <w:r w:rsidRPr="00BB0C0D">
              <w:rPr>
                <w:bCs/>
                <w:sz w:val="20"/>
                <w:szCs w:val="20"/>
              </w:rPr>
              <w:t>1,877</w:t>
            </w:r>
          </w:p>
        </w:tc>
      </w:tr>
      <w:tr w:rsidR="00FF36DD" w:rsidRPr="00B95B73" w14:paraId="02273101" w14:textId="77777777" w:rsidTr="00B823EB">
        <w:trPr>
          <w:trHeight w:val="216"/>
          <w:jc w:val="center"/>
        </w:trPr>
        <w:tc>
          <w:tcPr>
            <w:tcW w:w="4343" w:type="dxa"/>
            <w:shd w:val="pct20" w:color="000000" w:fill="FFFFFF"/>
            <w:noWrap/>
            <w:vAlign w:val="center"/>
          </w:tcPr>
          <w:p w14:paraId="038E9FB1" w14:textId="77777777" w:rsidR="00FF36DD" w:rsidRPr="00B95B73" w:rsidRDefault="00FF36DD" w:rsidP="00B823EB">
            <w:pPr>
              <w:jc w:val="center"/>
              <w:rPr>
                <w:bCs/>
                <w:sz w:val="20"/>
                <w:szCs w:val="20"/>
              </w:rPr>
            </w:pPr>
            <w:r>
              <w:rPr>
                <w:bCs/>
                <w:sz w:val="20"/>
                <w:szCs w:val="20"/>
              </w:rPr>
              <w:t>16 through</w:t>
            </w:r>
            <w:r w:rsidRPr="00B95B73">
              <w:rPr>
                <w:bCs/>
                <w:sz w:val="20"/>
                <w:szCs w:val="20"/>
              </w:rPr>
              <w:t xml:space="preserve"> </w:t>
            </w:r>
            <w:r>
              <w:rPr>
                <w:bCs/>
                <w:sz w:val="20"/>
                <w:szCs w:val="20"/>
              </w:rPr>
              <w:t>20</w:t>
            </w:r>
          </w:p>
        </w:tc>
        <w:tc>
          <w:tcPr>
            <w:tcW w:w="2902" w:type="dxa"/>
            <w:shd w:val="pct20" w:color="000000" w:fill="FFFFFF"/>
            <w:noWrap/>
            <w:vAlign w:val="center"/>
          </w:tcPr>
          <w:p w14:paraId="1190FC2E" w14:textId="77777777" w:rsidR="00FF36DD" w:rsidRPr="00BB0C0D" w:rsidRDefault="00FF36DD" w:rsidP="00B823EB">
            <w:pPr>
              <w:jc w:val="center"/>
              <w:rPr>
                <w:bCs/>
                <w:sz w:val="20"/>
                <w:szCs w:val="20"/>
              </w:rPr>
            </w:pPr>
            <w:r w:rsidRPr="00BB0C0D">
              <w:rPr>
                <w:bCs/>
                <w:sz w:val="20"/>
                <w:szCs w:val="20"/>
              </w:rPr>
              <w:t>1,992</w:t>
            </w:r>
          </w:p>
        </w:tc>
      </w:tr>
      <w:tr w:rsidR="00FF36DD" w:rsidRPr="00B95B73" w14:paraId="3CC01A37" w14:textId="77777777" w:rsidTr="00B823EB">
        <w:trPr>
          <w:trHeight w:val="216"/>
          <w:jc w:val="center"/>
        </w:trPr>
        <w:tc>
          <w:tcPr>
            <w:tcW w:w="4343" w:type="dxa"/>
            <w:shd w:val="pct5" w:color="000000" w:fill="FFFFFF"/>
            <w:noWrap/>
            <w:vAlign w:val="center"/>
          </w:tcPr>
          <w:p w14:paraId="348FA0FF" w14:textId="77777777" w:rsidR="00FF36DD" w:rsidRPr="00B95B73" w:rsidRDefault="00FF36DD" w:rsidP="00B823EB">
            <w:pPr>
              <w:jc w:val="center"/>
              <w:rPr>
                <w:bCs/>
                <w:sz w:val="20"/>
                <w:szCs w:val="20"/>
              </w:rPr>
            </w:pPr>
            <w:r>
              <w:rPr>
                <w:bCs/>
                <w:sz w:val="20"/>
                <w:szCs w:val="20"/>
              </w:rPr>
              <w:t>21 through</w:t>
            </w:r>
            <w:r w:rsidRPr="00B95B73">
              <w:rPr>
                <w:bCs/>
                <w:sz w:val="20"/>
                <w:szCs w:val="20"/>
              </w:rPr>
              <w:t xml:space="preserve"> </w:t>
            </w:r>
            <w:r>
              <w:rPr>
                <w:bCs/>
                <w:sz w:val="20"/>
                <w:szCs w:val="20"/>
              </w:rPr>
              <w:t>50</w:t>
            </w:r>
          </w:p>
        </w:tc>
        <w:tc>
          <w:tcPr>
            <w:tcW w:w="2902" w:type="dxa"/>
            <w:shd w:val="pct5" w:color="000000" w:fill="FFFFFF"/>
            <w:noWrap/>
            <w:vAlign w:val="center"/>
          </w:tcPr>
          <w:p w14:paraId="052021DF" w14:textId="77777777" w:rsidR="00FF36DD" w:rsidRPr="00BB0C0D" w:rsidRDefault="00FF36DD" w:rsidP="00B823EB">
            <w:pPr>
              <w:jc w:val="center"/>
              <w:rPr>
                <w:bCs/>
                <w:sz w:val="20"/>
                <w:szCs w:val="20"/>
              </w:rPr>
            </w:pPr>
            <w:r w:rsidRPr="00BB0C0D">
              <w:rPr>
                <w:bCs/>
                <w:sz w:val="20"/>
                <w:szCs w:val="20"/>
              </w:rPr>
              <w:t>2,222</w:t>
            </w:r>
          </w:p>
        </w:tc>
      </w:tr>
      <w:tr w:rsidR="00FF36DD" w:rsidRPr="00B95B73" w14:paraId="675D1998" w14:textId="77777777" w:rsidTr="00B823EB">
        <w:trPr>
          <w:trHeight w:val="216"/>
          <w:jc w:val="center"/>
        </w:trPr>
        <w:tc>
          <w:tcPr>
            <w:tcW w:w="4343" w:type="dxa"/>
            <w:shd w:val="clear" w:color="auto" w:fill="BFBFBF"/>
            <w:noWrap/>
            <w:vAlign w:val="center"/>
          </w:tcPr>
          <w:p w14:paraId="30BA7E48" w14:textId="77777777" w:rsidR="00FF36DD" w:rsidRPr="00B95B73" w:rsidRDefault="00FF36DD" w:rsidP="00B823EB">
            <w:pPr>
              <w:jc w:val="center"/>
              <w:rPr>
                <w:bCs/>
                <w:sz w:val="20"/>
                <w:szCs w:val="20"/>
              </w:rPr>
            </w:pPr>
            <w:r w:rsidRPr="00B95B73">
              <w:rPr>
                <w:bCs/>
                <w:sz w:val="20"/>
                <w:szCs w:val="20"/>
              </w:rPr>
              <w:t xml:space="preserve">51 </w:t>
            </w:r>
            <w:r>
              <w:rPr>
                <w:bCs/>
                <w:sz w:val="20"/>
                <w:szCs w:val="20"/>
              </w:rPr>
              <w:t>through</w:t>
            </w:r>
            <w:r w:rsidRPr="00B95B73">
              <w:rPr>
                <w:bCs/>
                <w:sz w:val="20"/>
                <w:szCs w:val="20"/>
              </w:rPr>
              <w:t xml:space="preserve"> 100</w:t>
            </w:r>
          </w:p>
        </w:tc>
        <w:tc>
          <w:tcPr>
            <w:tcW w:w="2902" w:type="dxa"/>
            <w:shd w:val="clear" w:color="auto" w:fill="BFBFBF"/>
            <w:noWrap/>
            <w:vAlign w:val="center"/>
          </w:tcPr>
          <w:p w14:paraId="7D8B62E0" w14:textId="77777777" w:rsidR="00FF36DD" w:rsidRPr="00BB0C0D" w:rsidRDefault="00FF36DD" w:rsidP="00B823EB">
            <w:pPr>
              <w:jc w:val="center"/>
              <w:rPr>
                <w:bCs/>
                <w:sz w:val="20"/>
                <w:szCs w:val="20"/>
              </w:rPr>
            </w:pPr>
            <w:r w:rsidRPr="00BB0C0D">
              <w:rPr>
                <w:bCs/>
                <w:sz w:val="20"/>
                <w:szCs w:val="20"/>
              </w:rPr>
              <w:t>2,651</w:t>
            </w:r>
          </w:p>
        </w:tc>
      </w:tr>
      <w:tr w:rsidR="00FF36DD" w:rsidRPr="00B95B73" w14:paraId="56C1EEDE" w14:textId="77777777" w:rsidTr="00B823EB">
        <w:trPr>
          <w:trHeight w:val="216"/>
          <w:jc w:val="center"/>
        </w:trPr>
        <w:tc>
          <w:tcPr>
            <w:tcW w:w="4343" w:type="dxa"/>
            <w:shd w:val="clear" w:color="auto" w:fill="F2F2F2"/>
            <w:noWrap/>
            <w:vAlign w:val="center"/>
          </w:tcPr>
          <w:p w14:paraId="79ABBD8C" w14:textId="77777777" w:rsidR="00FF36DD" w:rsidRPr="00B95B73" w:rsidRDefault="00FF36DD" w:rsidP="00B823EB">
            <w:pPr>
              <w:jc w:val="center"/>
              <w:rPr>
                <w:bCs/>
                <w:sz w:val="20"/>
                <w:szCs w:val="20"/>
              </w:rPr>
            </w:pPr>
            <w:r w:rsidRPr="00B95B73">
              <w:rPr>
                <w:bCs/>
                <w:sz w:val="20"/>
                <w:szCs w:val="20"/>
              </w:rPr>
              <w:t xml:space="preserve">101 </w:t>
            </w:r>
            <w:r>
              <w:rPr>
                <w:bCs/>
                <w:sz w:val="20"/>
                <w:szCs w:val="20"/>
              </w:rPr>
              <w:t>through</w:t>
            </w:r>
            <w:r w:rsidRPr="00B95B73">
              <w:rPr>
                <w:bCs/>
                <w:sz w:val="20"/>
                <w:szCs w:val="20"/>
              </w:rPr>
              <w:t xml:space="preserve"> 200</w:t>
            </w:r>
          </w:p>
        </w:tc>
        <w:tc>
          <w:tcPr>
            <w:tcW w:w="2902" w:type="dxa"/>
            <w:shd w:val="clear" w:color="auto" w:fill="F2F2F2"/>
            <w:noWrap/>
            <w:vAlign w:val="center"/>
          </w:tcPr>
          <w:p w14:paraId="4C93A230" w14:textId="77777777" w:rsidR="00FF36DD" w:rsidRPr="00BB0C0D" w:rsidRDefault="00FF36DD" w:rsidP="00B823EB">
            <w:pPr>
              <w:jc w:val="center"/>
              <w:rPr>
                <w:bCs/>
                <w:sz w:val="20"/>
                <w:szCs w:val="20"/>
              </w:rPr>
            </w:pPr>
            <w:r w:rsidRPr="00BB0C0D">
              <w:rPr>
                <w:bCs/>
                <w:sz w:val="20"/>
                <w:szCs w:val="20"/>
              </w:rPr>
              <w:t>2,607</w:t>
            </w:r>
          </w:p>
        </w:tc>
      </w:tr>
      <w:tr w:rsidR="00363CA9" w:rsidRPr="00B95B73" w14:paraId="7D1FD6F3" w14:textId="77777777" w:rsidTr="00363CA9">
        <w:trPr>
          <w:trHeight w:val="216"/>
          <w:jc w:val="center"/>
        </w:trPr>
        <w:tc>
          <w:tcPr>
            <w:tcW w:w="4343" w:type="dxa"/>
            <w:shd w:val="clear" w:color="auto" w:fill="BFBFBF" w:themeFill="background1" w:themeFillShade="BF"/>
            <w:noWrap/>
            <w:vAlign w:val="center"/>
          </w:tcPr>
          <w:p w14:paraId="7F77247A" w14:textId="61F62606" w:rsidR="00363CA9" w:rsidRPr="00B95B73" w:rsidRDefault="00363CA9" w:rsidP="00B823EB">
            <w:pPr>
              <w:jc w:val="center"/>
              <w:rPr>
                <w:bCs/>
                <w:sz w:val="20"/>
                <w:szCs w:val="20"/>
              </w:rPr>
            </w:pPr>
            <w:r>
              <w:rPr>
                <w:bCs/>
                <w:sz w:val="20"/>
                <w:szCs w:val="20"/>
              </w:rPr>
              <w:t>201 through 500</w:t>
            </w:r>
          </w:p>
        </w:tc>
        <w:tc>
          <w:tcPr>
            <w:tcW w:w="2902" w:type="dxa"/>
            <w:shd w:val="clear" w:color="auto" w:fill="BFBFBF" w:themeFill="background1" w:themeFillShade="BF"/>
            <w:noWrap/>
            <w:vAlign w:val="center"/>
          </w:tcPr>
          <w:p w14:paraId="18BF4752" w14:textId="7B2581B9" w:rsidR="00363CA9" w:rsidRPr="00BB0C0D" w:rsidRDefault="00363CA9" w:rsidP="00B823EB">
            <w:pPr>
              <w:jc w:val="center"/>
              <w:rPr>
                <w:bCs/>
                <w:sz w:val="20"/>
                <w:szCs w:val="20"/>
              </w:rPr>
            </w:pPr>
            <w:r>
              <w:rPr>
                <w:bCs/>
                <w:sz w:val="20"/>
                <w:szCs w:val="20"/>
              </w:rPr>
              <w:t>2,924</w:t>
            </w:r>
          </w:p>
        </w:tc>
      </w:tr>
    </w:tbl>
    <w:p w14:paraId="68F595E9" w14:textId="77777777" w:rsidR="00FF36DD" w:rsidRDefault="00FF36DD" w:rsidP="00FF36DD">
      <w:pPr>
        <w:ind w:left="1080" w:right="1080" w:hanging="1080"/>
      </w:pPr>
    </w:p>
    <w:p w14:paraId="3084EEA0" w14:textId="77777777" w:rsidR="00FF36DD" w:rsidRDefault="00FF36DD" w:rsidP="00FF36DD">
      <w:r>
        <w:t>The determination of operating hours by horsepower for each of the customer sectors is presented below.</w:t>
      </w:r>
    </w:p>
    <w:p w14:paraId="76C347F0" w14:textId="77777777" w:rsidR="00FF36DD" w:rsidRPr="003A7574" w:rsidRDefault="00FF36DD" w:rsidP="00FF36DD"/>
    <w:p w14:paraId="3CABBDE5" w14:textId="77777777" w:rsidR="00FF36DD" w:rsidRPr="005F1962" w:rsidRDefault="00FF36DD" w:rsidP="00FF36DD">
      <w:pPr>
        <w:pStyle w:val="BasicText"/>
        <w:tabs>
          <w:tab w:val="left" w:pos="4140"/>
        </w:tabs>
        <w:ind w:left="0"/>
        <w:rPr>
          <w:rFonts w:asciiTheme="minorHAnsi" w:hAnsiTheme="minorHAnsi"/>
          <w:i/>
          <w:sz w:val="22"/>
          <w:szCs w:val="22"/>
        </w:rPr>
      </w:pPr>
      <w:r w:rsidRPr="005F1962">
        <w:rPr>
          <w:rFonts w:asciiTheme="minorHAnsi" w:hAnsiTheme="minorHAnsi"/>
          <w:i/>
          <w:sz w:val="22"/>
          <w:szCs w:val="22"/>
        </w:rPr>
        <w:t>Industrial Sector</w:t>
      </w:r>
    </w:p>
    <w:p w14:paraId="23A0CFD6" w14:textId="00E3A650" w:rsidR="00FF36DD" w:rsidRPr="005F1962" w:rsidRDefault="00FF36DD" w:rsidP="00FF36DD">
      <w:pPr>
        <w:pStyle w:val="BasicText"/>
        <w:tabs>
          <w:tab w:val="left" w:pos="4140"/>
        </w:tabs>
        <w:ind w:left="0"/>
        <w:rPr>
          <w:rFonts w:asciiTheme="minorHAnsi" w:hAnsiTheme="minorHAnsi"/>
          <w:sz w:val="22"/>
          <w:szCs w:val="22"/>
        </w:rPr>
      </w:pPr>
      <w:r w:rsidRPr="005F1962">
        <w:rPr>
          <w:rFonts w:asciiTheme="minorHAnsi" w:hAnsiTheme="minorHAnsi"/>
          <w:sz w:val="22"/>
          <w:szCs w:val="22"/>
        </w:rPr>
        <w:t xml:space="preserve">The most comprehensive, accurate and useful data for motor operating hours in the industrial sector is from the study done for the Department of Energy called </w:t>
      </w:r>
      <w:r w:rsidRPr="005F1962">
        <w:rPr>
          <w:rFonts w:asciiTheme="minorHAnsi" w:hAnsiTheme="minorHAnsi"/>
          <w:i/>
          <w:sz w:val="22"/>
          <w:szCs w:val="22"/>
        </w:rPr>
        <w:t>United States Industrial Electric Motor Systems Market Opportunities Assessment</w:t>
      </w:r>
      <w:r w:rsidRPr="005F1962">
        <w:rPr>
          <w:rFonts w:asciiTheme="minorHAnsi" w:hAnsiTheme="minorHAnsi"/>
          <w:sz w:val="22"/>
          <w:szCs w:val="22"/>
          <w:vertAlign w:val="superscript"/>
        </w:rPr>
        <w:t>11</w:t>
      </w:r>
      <w:r w:rsidRPr="005F1962">
        <w:rPr>
          <w:rFonts w:asciiTheme="minorHAnsi" w:hAnsiTheme="minorHAnsi"/>
          <w:sz w:val="22"/>
          <w:szCs w:val="22"/>
        </w:rPr>
        <w:t xml:space="preserve">. 2005 DEER uses this same study for motor operating hours. The hour data for Overall Manufacturing (SIC 20 -39) are shown in Table 6. The hours of operation vary from 2,745 for smaller motors to </w:t>
      </w:r>
      <w:r w:rsidR="00591230" w:rsidRPr="005F1962">
        <w:rPr>
          <w:rFonts w:asciiTheme="minorHAnsi" w:hAnsiTheme="minorHAnsi"/>
          <w:sz w:val="22"/>
          <w:szCs w:val="22"/>
        </w:rPr>
        <w:t>6,132</w:t>
      </w:r>
      <w:r w:rsidRPr="005F1962">
        <w:rPr>
          <w:rFonts w:asciiTheme="minorHAnsi" w:hAnsiTheme="minorHAnsi"/>
          <w:sz w:val="22"/>
          <w:szCs w:val="22"/>
        </w:rPr>
        <w:t xml:space="preserve"> for larger motors.</w:t>
      </w:r>
    </w:p>
    <w:p w14:paraId="6B520FD1" w14:textId="77777777" w:rsidR="00FF36DD" w:rsidRPr="005F1962" w:rsidRDefault="00FF36DD" w:rsidP="00FF36DD">
      <w:pPr>
        <w:pStyle w:val="BasicText"/>
        <w:tabs>
          <w:tab w:val="left" w:pos="4140"/>
        </w:tabs>
        <w:ind w:left="0"/>
        <w:rPr>
          <w:rFonts w:asciiTheme="minorHAnsi" w:hAnsiTheme="minorHAnsi"/>
          <w:sz w:val="22"/>
          <w:szCs w:val="22"/>
        </w:rPr>
      </w:pPr>
    </w:p>
    <w:p w14:paraId="4635C547" w14:textId="77777777" w:rsidR="00FF36DD" w:rsidRPr="00AB2C34" w:rsidRDefault="00FF36DD" w:rsidP="00FF36DD">
      <w:pPr>
        <w:pStyle w:val="Caption"/>
        <w:jc w:val="center"/>
        <w:rPr>
          <w:b w:val="0"/>
          <w:bCs w:val="0"/>
          <w:sz w:val="24"/>
          <w:szCs w:val="24"/>
        </w:rPr>
      </w:pPr>
      <w:bookmarkStart w:id="19" w:name="_Toc257040035"/>
      <w:bookmarkStart w:id="20" w:name="_Toc326924512"/>
      <w:r w:rsidRPr="003807A9">
        <w:rPr>
          <w:sz w:val="24"/>
        </w:rPr>
        <w:t xml:space="preserve">Table </w:t>
      </w:r>
      <w:r w:rsidRPr="003807A9">
        <w:rPr>
          <w:sz w:val="24"/>
        </w:rPr>
        <w:fldChar w:fldCharType="begin"/>
      </w:r>
      <w:r w:rsidRPr="003807A9">
        <w:rPr>
          <w:sz w:val="24"/>
        </w:rPr>
        <w:instrText xml:space="preserve"> SEQ Table \* ARABIC </w:instrText>
      </w:r>
      <w:r w:rsidRPr="003807A9">
        <w:rPr>
          <w:sz w:val="24"/>
        </w:rPr>
        <w:fldChar w:fldCharType="separate"/>
      </w:r>
      <w:r>
        <w:rPr>
          <w:noProof/>
          <w:sz w:val="24"/>
        </w:rPr>
        <w:t>6</w:t>
      </w:r>
      <w:r w:rsidRPr="003807A9">
        <w:rPr>
          <w:sz w:val="24"/>
        </w:rPr>
        <w:fldChar w:fldCharType="end"/>
      </w:r>
      <w:r w:rsidRPr="00AB2C34">
        <w:rPr>
          <w:b w:val="0"/>
          <w:bCs w:val="0"/>
          <w:sz w:val="24"/>
          <w:szCs w:val="24"/>
        </w:rPr>
        <w:t>:</w:t>
      </w:r>
      <w:r>
        <w:rPr>
          <w:b w:val="0"/>
          <w:bCs w:val="0"/>
          <w:sz w:val="24"/>
          <w:szCs w:val="24"/>
        </w:rPr>
        <w:t xml:space="preserve"> </w:t>
      </w:r>
      <w:bookmarkEnd w:id="19"/>
      <w:r>
        <w:rPr>
          <w:b w:val="0"/>
          <w:bCs w:val="0"/>
          <w:sz w:val="24"/>
          <w:szCs w:val="24"/>
        </w:rPr>
        <w:t>Annual Hours of Operation for Electric Motors in the Industrial Sector</w:t>
      </w:r>
      <w:bookmarkEnd w:id="20"/>
    </w:p>
    <w:tbl>
      <w:tblPr>
        <w:tblW w:w="7312" w:type="dxa"/>
        <w:jc w:val="center"/>
        <w:tblInd w:w="-67" w:type="dxa"/>
        <w:tblBorders>
          <w:insideH w:val="single" w:sz="18" w:space="0" w:color="FFFFFF"/>
          <w:insideV w:val="single" w:sz="18" w:space="0" w:color="FFFFFF"/>
        </w:tblBorders>
        <w:tblLook w:val="0000" w:firstRow="0" w:lastRow="0" w:firstColumn="0" w:lastColumn="0" w:noHBand="0" w:noVBand="0"/>
      </w:tblPr>
      <w:tblGrid>
        <w:gridCol w:w="4410"/>
        <w:gridCol w:w="2902"/>
      </w:tblGrid>
      <w:tr w:rsidR="00FF36DD" w:rsidRPr="00B95B73" w14:paraId="324DE78B" w14:textId="77777777" w:rsidTr="00F75B90">
        <w:trPr>
          <w:trHeight w:val="216"/>
          <w:jc w:val="center"/>
        </w:trPr>
        <w:tc>
          <w:tcPr>
            <w:tcW w:w="4410" w:type="dxa"/>
            <w:tcBorders>
              <w:top w:val="nil"/>
            </w:tcBorders>
            <w:shd w:val="solid" w:color="000000" w:fill="FFFFFF"/>
            <w:noWrap/>
            <w:vAlign w:val="center"/>
          </w:tcPr>
          <w:p w14:paraId="17DE147B" w14:textId="77777777" w:rsidR="00FF36DD" w:rsidRPr="00B95B73" w:rsidRDefault="00FF36DD" w:rsidP="00B823EB">
            <w:pPr>
              <w:jc w:val="center"/>
              <w:rPr>
                <w:b/>
                <w:bCs/>
                <w:color w:val="FFFFFF"/>
                <w:sz w:val="20"/>
                <w:szCs w:val="20"/>
              </w:rPr>
            </w:pPr>
            <w:r w:rsidRPr="00B95B73">
              <w:rPr>
                <w:b/>
                <w:bCs/>
                <w:color w:val="FFFFFF"/>
                <w:sz w:val="20"/>
                <w:szCs w:val="20"/>
              </w:rPr>
              <w:t>Motor Size Category (</w:t>
            </w:r>
            <w:r>
              <w:rPr>
                <w:b/>
                <w:bCs/>
                <w:color w:val="FFFFFF"/>
                <w:sz w:val="20"/>
                <w:szCs w:val="20"/>
              </w:rPr>
              <w:t>hp</w:t>
            </w:r>
            <w:r w:rsidRPr="00B95B73">
              <w:rPr>
                <w:b/>
                <w:bCs/>
                <w:color w:val="FFFFFF"/>
                <w:sz w:val="20"/>
                <w:szCs w:val="20"/>
              </w:rPr>
              <w:t>)</w:t>
            </w:r>
          </w:p>
        </w:tc>
        <w:tc>
          <w:tcPr>
            <w:tcW w:w="2902" w:type="dxa"/>
            <w:tcBorders>
              <w:top w:val="nil"/>
            </w:tcBorders>
            <w:shd w:val="solid" w:color="000000" w:fill="FFFFFF"/>
            <w:noWrap/>
            <w:vAlign w:val="center"/>
          </w:tcPr>
          <w:p w14:paraId="3DC46470" w14:textId="77777777" w:rsidR="00FF36DD" w:rsidRPr="00B95B73" w:rsidRDefault="00FF36DD" w:rsidP="00B823EB">
            <w:pPr>
              <w:jc w:val="center"/>
              <w:rPr>
                <w:b/>
                <w:bCs/>
                <w:color w:val="FFFFFF"/>
                <w:sz w:val="20"/>
                <w:szCs w:val="20"/>
              </w:rPr>
            </w:pPr>
            <w:r w:rsidRPr="00B95B73">
              <w:rPr>
                <w:b/>
                <w:bCs/>
                <w:color w:val="FFFFFF"/>
                <w:sz w:val="20"/>
                <w:szCs w:val="20"/>
              </w:rPr>
              <w:t>Annual Hours</w:t>
            </w:r>
          </w:p>
        </w:tc>
      </w:tr>
      <w:tr w:rsidR="00FF36DD" w:rsidRPr="00B95B73" w14:paraId="2BF2DBC3" w14:textId="77777777" w:rsidTr="00F75B90">
        <w:trPr>
          <w:trHeight w:val="216"/>
          <w:jc w:val="center"/>
        </w:trPr>
        <w:tc>
          <w:tcPr>
            <w:tcW w:w="4410" w:type="dxa"/>
            <w:shd w:val="pct20" w:color="000000" w:fill="FFFFFF"/>
            <w:noWrap/>
            <w:vAlign w:val="center"/>
          </w:tcPr>
          <w:p w14:paraId="71B88494" w14:textId="77777777" w:rsidR="00FF36DD" w:rsidRPr="00B95B73" w:rsidRDefault="00FF36DD" w:rsidP="00B823EB">
            <w:pPr>
              <w:jc w:val="center"/>
              <w:rPr>
                <w:bCs/>
                <w:sz w:val="20"/>
                <w:szCs w:val="20"/>
              </w:rPr>
            </w:pPr>
            <w:r w:rsidRPr="00B95B73">
              <w:rPr>
                <w:bCs/>
                <w:sz w:val="20"/>
                <w:szCs w:val="20"/>
              </w:rPr>
              <w:t xml:space="preserve">1 </w:t>
            </w:r>
            <w:r>
              <w:rPr>
                <w:bCs/>
                <w:sz w:val="20"/>
                <w:szCs w:val="20"/>
              </w:rPr>
              <w:t>through</w:t>
            </w:r>
            <w:r w:rsidRPr="00B95B73">
              <w:rPr>
                <w:bCs/>
                <w:sz w:val="20"/>
                <w:szCs w:val="20"/>
              </w:rPr>
              <w:t xml:space="preserve"> 5</w:t>
            </w:r>
          </w:p>
        </w:tc>
        <w:tc>
          <w:tcPr>
            <w:tcW w:w="2902" w:type="dxa"/>
            <w:shd w:val="pct20" w:color="000000" w:fill="FFFFFF"/>
            <w:noWrap/>
            <w:vAlign w:val="center"/>
          </w:tcPr>
          <w:p w14:paraId="4EC30DBD" w14:textId="77777777" w:rsidR="00FF36DD" w:rsidRPr="00B95B73" w:rsidRDefault="00FF36DD" w:rsidP="00B823EB">
            <w:pPr>
              <w:jc w:val="center"/>
              <w:rPr>
                <w:sz w:val="20"/>
                <w:szCs w:val="20"/>
              </w:rPr>
            </w:pPr>
            <w:r w:rsidRPr="00B95B73">
              <w:rPr>
                <w:sz w:val="20"/>
                <w:szCs w:val="20"/>
              </w:rPr>
              <w:t>2,745</w:t>
            </w:r>
          </w:p>
        </w:tc>
      </w:tr>
      <w:tr w:rsidR="00FF36DD" w:rsidRPr="00B95B73" w14:paraId="70F6FCBD" w14:textId="77777777" w:rsidTr="00F75B90">
        <w:trPr>
          <w:trHeight w:val="216"/>
          <w:jc w:val="center"/>
        </w:trPr>
        <w:tc>
          <w:tcPr>
            <w:tcW w:w="4410" w:type="dxa"/>
            <w:shd w:val="pct5" w:color="000000" w:fill="FFFFFF"/>
            <w:noWrap/>
            <w:vAlign w:val="center"/>
          </w:tcPr>
          <w:p w14:paraId="1EE581FD" w14:textId="77777777" w:rsidR="00FF36DD" w:rsidRPr="00B95B73" w:rsidRDefault="00FF36DD" w:rsidP="00B823EB">
            <w:pPr>
              <w:jc w:val="center"/>
              <w:rPr>
                <w:bCs/>
                <w:sz w:val="20"/>
                <w:szCs w:val="20"/>
              </w:rPr>
            </w:pPr>
            <w:r w:rsidRPr="00B95B73">
              <w:rPr>
                <w:bCs/>
                <w:sz w:val="20"/>
                <w:szCs w:val="20"/>
              </w:rPr>
              <w:t xml:space="preserve">6 </w:t>
            </w:r>
            <w:r>
              <w:rPr>
                <w:bCs/>
                <w:sz w:val="20"/>
                <w:szCs w:val="20"/>
              </w:rPr>
              <w:t>through</w:t>
            </w:r>
            <w:r w:rsidRPr="00B95B73">
              <w:rPr>
                <w:bCs/>
                <w:sz w:val="20"/>
                <w:szCs w:val="20"/>
              </w:rPr>
              <w:t xml:space="preserve"> 20</w:t>
            </w:r>
          </w:p>
        </w:tc>
        <w:tc>
          <w:tcPr>
            <w:tcW w:w="2902" w:type="dxa"/>
            <w:shd w:val="pct5" w:color="000000" w:fill="FFFFFF"/>
            <w:noWrap/>
            <w:vAlign w:val="center"/>
          </w:tcPr>
          <w:p w14:paraId="65B87896" w14:textId="77777777" w:rsidR="00FF36DD" w:rsidRPr="00B95B73" w:rsidRDefault="00FF36DD" w:rsidP="00B823EB">
            <w:pPr>
              <w:jc w:val="center"/>
              <w:rPr>
                <w:sz w:val="20"/>
                <w:szCs w:val="20"/>
              </w:rPr>
            </w:pPr>
            <w:r w:rsidRPr="00B95B73">
              <w:rPr>
                <w:sz w:val="20"/>
                <w:szCs w:val="20"/>
              </w:rPr>
              <w:t>3,391</w:t>
            </w:r>
          </w:p>
        </w:tc>
      </w:tr>
      <w:tr w:rsidR="00FF36DD" w:rsidRPr="00B95B73" w14:paraId="0BFCBD8A" w14:textId="77777777" w:rsidTr="00F75B90">
        <w:trPr>
          <w:trHeight w:val="216"/>
          <w:jc w:val="center"/>
        </w:trPr>
        <w:tc>
          <w:tcPr>
            <w:tcW w:w="4410" w:type="dxa"/>
            <w:shd w:val="pct20" w:color="000000" w:fill="FFFFFF"/>
            <w:noWrap/>
            <w:vAlign w:val="center"/>
          </w:tcPr>
          <w:p w14:paraId="4E4ACE3A" w14:textId="77777777" w:rsidR="00FF36DD" w:rsidRPr="00B95B73" w:rsidRDefault="00FF36DD" w:rsidP="00B823EB">
            <w:pPr>
              <w:jc w:val="center"/>
              <w:rPr>
                <w:bCs/>
                <w:sz w:val="20"/>
                <w:szCs w:val="20"/>
              </w:rPr>
            </w:pPr>
            <w:r w:rsidRPr="00B95B73">
              <w:rPr>
                <w:bCs/>
                <w:sz w:val="20"/>
                <w:szCs w:val="20"/>
              </w:rPr>
              <w:t>21</w:t>
            </w:r>
            <w:r>
              <w:rPr>
                <w:bCs/>
                <w:sz w:val="20"/>
                <w:szCs w:val="20"/>
              </w:rPr>
              <w:t xml:space="preserve"> through</w:t>
            </w:r>
            <w:r w:rsidRPr="00B95B73">
              <w:rPr>
                <w:bCs/>
                <w:sz w:val="20"/>
                <w:szCs w:val="20"/>
              </w:rPr>
              <w:t xml:space="preserve"> 50</w:t>
            </w:r>
          </w:p>
        </w:tc>
        <w:tc>
          <w:tcPr>
            <w:tcW w:w="2902" w:type="dxa"/>
            <w:shd w:val="pct20" w:color="000000" w:fill="FFFFFF"/>
            <w:noWrap/>
            <w:vAlign w:val="center"/>
          </w:tcPr>
          <w:p w14:paraId="26D672BE" w14:textId="77777777" w:rsidR="00FF36DD" w:rsidRPr="00B95B73" w:rsidRDefault="00FF36DD" w:rsidP="00B823EB">
            <w:pPr>
              <w:jc w:val="center"/>
              <w:rPr>
                <w:sz w:val="20"/>
                <w:szCs w:val="20"/>
              </w:rPr>
            </w:pPr>
            <w:r w:rsidRPr="00B95B73">
              <w:rPr>
                <w:sz w:val="20"/>
                <w:szCs w:val="20"/>
              </w:rPr>
              <w:t>4,067</w:t>
            </w:r>
          </w:p>
        </w:tc>
      </w:tr>
      <w:tr w:rsidR="00FF36DD" w:rsidRPr="00B95B73" w14:paraId="297F65E5" w14:textId="77777777" w:rsidTr="00F75B90">
        <w:trPr>
          <w:trHeight w:val="216"/>
          <w:jc w:val="center"/>
        </w:trPr>
        <w:tc>
          <w:tcPr>
            <w:tcW w:w="4410" w:type="dxa"/>
            <w:shd w:val="pct5" w:color="000000" w:fill="FFFFFF"/>
            <w:noWrap/>
            <w:vAlign w:val="center"/>
          </w:tcPr>
          <w:p w14:paraId="7A001ACA" w14:textId="77777777" w:rsidR="00FF36DD" w:rsidRPr="00B95B73" w:rsidRDefault="00FF36DD" w:rsidP="00B823EB">
            <w:pPr>
              <w:jc w:val="center"/>
              <w:rPr>
                <w:bCs/>
                <w:sz w:val="20"/>
                <w:szCs w:val="20"/>
              </w:rPr>
            </w:pPr>
            <w:r w:rsidRPr="00B95B73">
              <w:rPr>
                <w:bCs/>
                <w:sz w:val="20"/>
                <w:szCs w:val="20"/>
              </w:rPr>
              <w:t xml:space="preserve">51 </w:t>
            </w:r>
            <w:r>
              <w:rPr>
                <w:bCs/>
                <w:sz w:val="20"/>
                <w:szCs w:val="20"/>
              </w:rPr>
              <w:t>through</w:t>
            </w:r>
            <w:r w:rsidRPr="00B95B73">
              <w:rPr>
                <w:bCs/>
                <w:sz w:val="20"/>
                <w:szCs w:val="20"/>
              </w:rPr>
              <w:t xml:space="preserve"> 100</w:t>
            </w:r>
          </w:p>
        </w:tc>
        <w:tc>
          <w:tcPr>
            <w:tcW w:w="2902" w:type="dxa"/>
            <w:shd w:val="pct5" w:color="000000" w:fill="FFFFFF"/>
            <w:noWrap/>
            <w:vAlign w:val="center"/>
          </w:tcPr>
          <w:p w14:paraId="7110B868" w14:textId="77777777" w:rsidR="00FF36DD" w:rsidRPr="00B95B73" w:rsidRDefault="00FF36DD" w:rsidP="00B823EB">
            <w:pPr>
              <w:jc w:val="center"/>
              <w:rPr>
                <w:sz w:val="20"/>
                <w:szCs w:val="20"/>
              </w:rPr>
            </w:pPr>
            <w:r w:rsidRPr="00B95B73">
              <w:rPr>
                <w:sz w:val="20"/>
                <w:szCs w:val="20"/>
              </w:rPr>
              <w:t>5,329</w:t>
            </w:r>
          </w:p>
        </w:tc>
      </w:tr>
      <w:tr w:rsidR="00FF36DD" w:rsidRPr="00B95B73" w14:paraId="345FD584" w14:textId="77777777" w:rsidTr="00F75B90">
        <w:trPr>
          <w:trHeight w:val="216"/>
          <w:jc w:val="center"/>
        </w:trPr>
        <w:tc>
          <w:tcPr>
            <w:tcW w:w="4410" w:type="dxa"/>
            <w:shd w:val="pct20" w:color="000000" w:fill="FFFFFF"/>
            <w:noWrap/>
            <w:vAlign w:val="center"/>
          </w:tcPr>
          <w:p w14:paraId="1774BC43" w14:textId="77777777" w:rsidR="00FF36DD" w:rsidRPr="00B95B73" w:rsidRDefault="00FF36DD" w:rsidP="00B823EB">
            <w:pPr>
              <w:jc w:val="center"/>
              <w:rPr>
                <w:bCs/>
                <w:sz w:val="20"/>
                <w:szCs w:val="20"/>
              </w:rPr>
            </w:pPr>
            <w:r w:rsidRPr="00B95B73">
              <w:rPr>
                <w:bCs/>
                <w:sz w:val="20"/>
                <w:szCs w:val="20"/>
              </w:rPr>
              <w:t xml:space="preserve">101 </w:t>
            </w:r>
            <w:r>
              <w:rPr>
                <w:bCs/>
                <w:sz w:val="20"/>
                <w:szCs w:val="20"/>
              </w:rPr>
              <w:t>through</w:t>
            </w:r>
            <w:r w:rsidRPr="00B95B73">
              <w:rPr>
                <w:bCs/>
                <w:sz w:val="20"/>
                <w:szCs w:val="20"/>
              </w:rPr>
              <w:t xml:space="preserve"> 200</w:t>
            </w:r>
          </w:p>
        </w:tc>
        <w:tc>
          <w:tcPr>
            <w:tcW w:w="2902" w:type="dxa"/>
            <w:shd w:val="pct20" w:color="000000" w:fill="FFFFFF"/>
            <w:noWrap/>
            <w:vAlign w:val="center"/>
          </w:tcPr>
          <w:p w14:paraId="74672769" w14:textId="77777777" w:rsidR="00FF36DD" w:rsidRPr="00B95B73" w:rsidRDefault="00FF36DD" w:rsidP="00B823EB">
            <w:pPr>
              <w:jc w:val="center"/>
              <w:rPr>
                <w:sz w:val="20"/>
                <w:szCs w:val="20"/>
              </w:rPr>
            </w:pPr>
            <w:r w:rsidRPr="00B95B73">
              <w:rPr>
                <w:sz w:val="20"/>
                <w:szCs w:val="20"/>
              </w:rPr>
              <w:t>5,200</w:t>
            </w:r>
          </w:p>
        </w:tc>
      </w:tr>
      <w:tr w:rsidR="00591230" w:rsidRPr="00B95B73" w14:paraId="2C03E516" w14:textId="77777777" w:rsidTr="00F75B90">
        <w:trPr>
          <w:trHeight w:val="216"/>
          <w:jc w:val="center"/>
        </w:trPr>
        <w:tc>
          <w:tcPr>
            <w:tcW w:w="4410" w:type="dxa"/>
            <w:shd w:val="clear" w:color="auto" w:fill="auto"/>
            <w:noWrap/>
            <w:vAlign w:val="center"/>
          </w:tcPr>
          <w:p w14:paraId="7CE83844" w14:textId="033704BA" w:rsidR="00591230" w:rsidRPr="00B95B73" w:rsidRDefault="00591230" w:rsidP="00B823EB">
            <w:pPr>
              <w:jc w:val="center"/>
              <w:rPr>
                <w:bCs/>
                <w:sz w:val="20"/>
                <w:szCs w:val="20"/>
              </w:rPr>
            </w:pPr>
            <w:r>
              <w:rPr>
                <w:bCs/>
                <w:sz w:val="20"/>
                <w:szCs w:val="20"/>
              </w:rPr>
              <w:t>201 through 500</w:t>
            </w:r>
          </w:p>
        </w:tc>
        <w:tc>
          <w:tcPr>
            <w:tcW w:w="2902" w:type="dxa"/>
            <w:shd w:val="clear" w:color="auto" w:fill="auto"/>
            <w:noWrap/>
            <w:vAlign w:val="center"/>
          </w:tcPr>
          <w:p w14:paraId="73C37246" w14:textId="1BFB491C" w:rsidR="00591230" w:rsidRPr="00B95B73" w:rsidRDefault="00591230" w:rsidP="00B823EB">
            <w:pPr>
              <w:jc w:val="center"/>
              <w:rPr>
                <w:sz w:val="20"/>
                <w:szCs w:val="20"/>
              </w:rPr>
            </w:pPr>
            <w:r>
              <w:rPr>
                <w:sz w:val="20"/>
                <w:szCs w:val="20"/>
              </w:rPr>
              <w:t>6,132</w:t>
            </w:r>
          </w:p>
        </w:tc>
      </w:tr>
    </w:tbl>
    <w:p w14:paraId="5B8EF1DB" w14:textId="77777777" w:rsidR="00FF36DD" w:rsidRPr="003A7574" w:rsidRDefault="00FF36DD" w:rsidP="00FF36DD">
      <w:pPr>
        <w:ind w:left="1080" w:right="1080" w:hanging="1080"/>
      </w:pPr>
      <w:r>
        <w:tab/>
      </w:r>
      <w:r w:rsidRPr="003A7574">
        <w:rPr>
          <w:sz w:val="18"/>
          <w:szCs w:val="18"/>
        </w:rPr>
        <w:t xml:space="preserve">Source: </w:t>
      </w:r>
      <w:r w:rsidRPr="003A7574">
        <w:rPr>
          <w:sz w:val="20"/>
        </w:rPr>
        <w:t>“United States Industrial Electric Motor Systems Market Opportunities Assessment,” Prepared by Xenergy Inc. for U.S. DOE, Burlington, MA, Dec.2002, pg 42; Table 1-15</w:t>
      </w:r>
      <w:r w:rsidRPr="003A7574">
        <w:rPr>
          <w:vertAlign w:val="superscript"/>
        </w:rPr>
        <w:t>11</w:t>
      </w:r>
      <w:r w:rsidRPr="003A7574">
        <w:rPr>
          <w:sz w:val="20"/>
        </w:rPr>
        <w:t>.</w:t>
      </w:r>
    </w:p>
    <w:p w14:paraId="421913BD" w14:textId="77777777" w:rsidR="00FF36DD" w:rsidRPr="00143A79" w:rsidRDefault="00FF36DD" w:rsidP="00FF36DD"/>
    <w:p w14:paraId="57172209" w14:textId="77777777" w:rsidR="00FF36DD" w:rsidRPr="005F1962" w:rsidRDefault="00FF36DD" w:rsidP="00FF36DD">
      <w:pPr>
        <w:pStyle w:val="BasicText"/>
        <w:tabs>
          <w:tab w:val="left" w:pos="4140"/>
        </w:tabs>
        <w:ind w:left="0"/>
        <w:rPr>
          <w:rFonts w:asciiTheme="minorHAnsi" w:hAnsiTheme="minorHAnsi"/>
          <w:i/>
          <w:sz w:val="22"/>
          <w:szCs w:val="22"/>
        </w:rPr>
      </w:pPr>
      <w:r w:rsidRPr="005F1962">
        <w:rPr>
          <w:rFonts w:asciiTheme="minorHAnsi" w:hAnsiTheme="minorHAnsi"/>
          <w:i/>
          <w:sz w:val="22"/>
          <w:szCs w:val="22"/>
        </w:rPr>
        <w:t>Commercial Sector</w:t>
      </w:r>
    </w:p>
    <w:p w14:paraId="2D81998C" w14:textId="77777777" w:rsidR="00FF36DD" w:rsidRPr="005F1962" w:rsidRDefault="00FF36DD" w:rsidP="00FF36DD">
      <w:pPr>
        <w:spacing w:after="120"/>
        <w:rPr>
          <w:szCs w:val="22"/>
        </w:rPr>
      </w:pPr>
      <w:r w:rsidRPr="005F1962">
        <w:rPr>
          <w:szCs w:val="22"/>
        </w:rPr>
        <w:t>Commercial applications are particularly difficult to assess because of the potential variable loading on the motors and range of mechanisms used to address unloading (e.g. motor cycling, reduced motor loading without cycling, active load control through variable frequency drives, etc.). As such, reasonable estimates must be made concerning motor runtime under these possible conditions. It is important to note that runtime as used in this context is equivalent full-load operating hours, not motor operating hours (time the motor is operating without regard to how it may be unloaded). Without better data, the approach taken here is to adjust operating hours to full-load operating hours via an assumed loading correction. The assumptions used for this adjustment are as follows:</w:t>
      </w:r>
    </w:p>
    <w:p w14:paraId="5FEC6760" w14:textId="77777777" w:rsidR="00FF36DD" w:rsidRDefault="00FF36DD" w:rsidP="00FF36DD">
      <w:pPr>
        <w:numPr>
          <w:ilvl w:val="0"/>
          <w:numId w:val="35"/>
        </w:numPr>
        <w:spacing w:after="120"/>
      </w:pPr>
      <w:r>
        <w:lastRenderedPageBreak/>
        <w:t>The average loading on the motor is 60% of peak. This is mid-way between a minimum load of 20% and full load at 100%. While the load could and would drop below 20%, this is taken as a minimum energy use operating point as long as the motor is running.</w:t>
      </w:r>
    </w:p>
    <w:p w14:paraId="0B46ADB6" w14:textId="77777777" w:rsidR="00FF36DD" w:rsidRPr="003A7574" w:rsidRDefault="00FF36DD" w:rsidP="00FF36DD">
      <w:pPr>
        <w:numPr>
          <w:ilvl w:val="0"/>
          <w:numId w:val="35"/>
        </w:numPr>
        <w:spacing w:after="120"/>
      </w:pPr>
      <w:r>
        <w:t xml:space="preserve">The mechanisms that control the motor produce a range of part-load power values. Most common, as required by current building codes, is the use of a variable frequency drive on the motor. This would include most supply fan, pump, or cooling tower fan motors that would be covered by the definition of commercial electric motors. As a reasonable approximation, one would assume that a mix of control approaches would lead to a motor power input that varies with the square of the loading. Systems using variable frequency drives typically have greater part-load impact on power than the square of the loading assumption. </w:t>
      </w:r>
      <w:r w:rsidRPr="003A7574">
        <w:t>Other control mechanisms would have less part-load impact.</w:t>
      </w:r>
    </w:p>
    <w:p w14:paraId="3182DECF" w14:textId="77777777" w:rsidR="00FF36DD" w:rsidRPr="003A7574" w:rsidRDefault="00FF36DD" w:rsidP="00FF36DD">
      <w:pPr>
        <w:spacing w:after="120"/>
      </w:pPr>
      <w:r w:rsidRPr="003A7574">
        <w:t>Given the above assumptions, a reasonable average loading impact would be (0.6)</w:t>
      </w:r>
      <w:r w:rsidRPr="003A7574">
        <w:rPr>
          <w:vertAlign w:val="superscript"/>
        </w:rPr>
        <w:t>2</w:t>
      </w:r>
      <w:r w:rsidRPr="003A7574">
        <w:t>, or 36% of the peak load on the motor. Thus, equivalent full-load motor operating hours would equal to 36% of the run-hours.</w:t>
      </w:r>
    </w:p>
    <w:p w14:paraId="04AA6DD0" w14:textId="77777777" w:rsidR="00FF36DD" w:rsidRDefault="00FF36DD" w:rsidP="00FF36DD">
      <w:pPr>
        <w:spacing w:after="120"/>
      </w:pPr>
      <w:r w:rsidRPr="003A7574">
        <w:t>Run-hour estimates for commercial motors were obtained from the 06-08 Specialized Commercial EM&amp;V study</w:t>
      </w:r>
      <w:r w:rsidRPr="003A7574">
        <w:rPr>
          <w:rStyle w:val="EndnoteReference"/>
        </w:rPr>
        <w:endnoteReference w:id="5"/>
      </w:r>
      <w:r w:rsidRPr="003A7574">
        <w:t>. This study notes 2,076 annual operating hours for motors 15-hp or smaller, and 2,820 annual operating hours for motors over 15-hp. Given this, commercial motor runtimes to be used by the work paper should be</w:t>
      </w:r>
      <w:r>
        <w:t xml:space="preserve"> as follows:</w:t>
      </w:r>
    </w:p>
    <w:p w14:paraId="19438A66" w14:textId="77777777" w:rsidR="00FF36DD" w:rsidRPr="00AB2C34" w:rsidRDefault="00FF36DD" w:rsidP="00FF36DD">
      <w:pPr>
        <w:pStyle w:val="Caption"/>
        <w:jc w:val="center"/>
        <w:rPr>
          <w:b w:val="0"/>
          <w:bCs w:val="0"/>
          <w:sz w:val="24"/>
          <w:szCs w:val="24"/>
        </w:rPr>
      </w:pPr>
      <w:bookmarkStart w:id="21" w:name="_Toc326924513"/>
      <w:r w:rsidRPr="003807A9">
        <w:rPr>
          <w:sz w:val="24"/>
        </w:rPr>
        <w:t xml:space="preserve">Table </w:t>
      </w:r>
      <w:r w:rsidRPr="003807A9">
        <w:rPr>
          <w:sz w:val="24"/>
        </w:rPr>
        <w:fldChar w:fldCharType="begin"/>
      </w:r>
      <w:r w:rsidRPr="003807A9">
        <w:rPr>
          <w:sz w:val="24"/>
        </w:rPr>
        <w:instrText xml:space="preserve"> SEQ Table \* ARABIC </w:instrText>
      </w:r>
      <w:r w:rsidRPr="003807A9">
        <w:rPr>
          <w:sz w:val="24"/>
        </w:rPr>
        <w:fldChar w:fldCharType="separate"/>
      </w:r>
      <w:r>
        <w:rPr>
          <w:noProof/>
          <w:sz w:val="24"/>
        </w:rPr>
        <w:t>7</w:t>
      </w:r>
      <w:r w:rsidRPr="003807A9">
        <w:rPr>
          <w:sz w:val="24"/>
        </w:rPr>
        <w:fldChar w:fldCharType="end"/>
      </w:r>
      <w:r w:rsidRPr="00AB2C34">
        <w:rPr>
          <w:b w:val="0"/>
          <w:bCs w:val="0"/>
          <w:sz w:val="24"/>
          <w:szCs w:val="24"/>
        </w:rPr>
        <w:t>:</w:t>
      </w:r>
      <w:r>
        <w:rPr>
          <w:b w:val="0"/>
          <w:bCs w:val="0"/>
          <w:sz w:val="24"/>
          <w:szCs w:val="24"/>
        </w:rPr>
        <w:t xml:space="preserve"> Annual Hours of Operation for Electric Motors in the Commercial Sector</w:t>
      </w:r>
      <w:bookmarkEnd w:id="21"/>
    </w:p>
    <w:tbl>
      <w:tblPr>
        <w:tblW w:w="7245" w:type="dxa"/>
        <w:jc w:val="center"/>
        <w:tblBorders>
          <w:insideH w:val="single" w:sz="18" w:space="0" w:color="FFFFFF"/>
          <w:insideV w:val="single" w:sz="18" w:space="0" w:color="FFFFFF"/>
        </w:tblBorders>
        <w:tblLook w:val="0000" w:firstRow="0" w:lastRow="0" w:firstColumn="0" w:lastColumn="0" w:noHBand="0" w:noVBand="0"/>
      </w:tblPr>
      <w:tblGrid>
        <w:gridCol w:w="4343"/>
        <w:gridCol w:w="2902"/>
      </w:tblGrid>
      <w:tr w:rsidR="00FF36DD" w:rsidRPr="00B95B73" w14:paraId="1A8D257A" w14:textId="77777777" w:rsidTr="00B823EB">
        <w:trPr>
          <w:trHeight w:val="216"/>
          <w:jc w:val="center"/>
        </w:trPr>
        <w:tc>
          <w:tcPr>
            <w:tcW w:w="4343" w:type="dxa"/>
            <w:tcBorders>
              <w:top w:val="nil"/>
            </w:tcBorders>
            <w:shd w:val="solid" w:color="000000" w:fill="FFFFFF"/>
            <w:noWrap/>
            <w:vAlign w:val="center"/>
          </w:tcPr>
          <w:p w14:paraId="4F21299F" w14:textId="77777777" w:rsidR="00FF36DD" w:rsidRPr="00B95B73" w:rsidRDefault="00FF36DD" w:rsidP="00B823EB">
            <w:pPr>
              <w:jc w:val="center"/>
              <w:rPr>
                <w:b/>
                <w:bCs/>
                <w:color w:val="FFFFFF"/>
                <w:sz w:val="20"/>
                <w:szCs w:val="20"/>
              </w:rPr>
            </w:pPr>
            <w:r w:rsidRPr="00B95B73">
              <w:rPr>
                <w:b/>
                <w:bCs/>
                <w:color w:val="FFFFFF"/>
                <w:sz w:val="20"/>
                <w:szCs w:val="20"/>
              </w:rPr>
              <w:t>Motor Size Category (</w:t>
            </w:r>
            <w:r>
              <w:rPr>
                <w:b/>
                <w:bCs/>
                <w:color w:val="FFFFFF"/>
                <w:sz w:val="20"/>
                <w:szCs w:val="20"/>
              </w:rPr>
              <w:t>hp</w:t>
            </w:r>
            <w:r w:rsidRPr="00B95B73">
              <w:rPr>
                <w:b/>
                <w:bCs/>
                <w:color w:val="FFFFFF"/>
                <w:sz w:val="20"/>
                <w:szCs w:val="20"/>
              </w:rPr>
              <w:t>)</w:t>
            </w:r>
          </w:p>
        </w:tc>
        <w:tc>
          <w:tcPr>
            <w:tcW w:w="2902" w:type="dxa"/>
            <w:tcBorders>
              <w:top w:val="nil"/>
            </w:tcBorders>
            <w:shd w:val="solid" w:color="000000" w:fill="FFFFFF"/>
            <w:noWrap/>
            <w:vAlign w:val="center"/>
          </w:tcPr>
          <w:p w14:paraId="464685F0" w14:textId="77777777" w:rsidR="00FF36DD" w:rsidRPr="00B95B73" w:rsidRDefault="00FF36DD" w:rsidP="00B823EB">
            <w:pPr>
              <w:jc w:val="center"/>
              <w:rPr>
                <w:b/>
                <w:bCs/>
                <w:color w:val="FFFFFF"/>
                <w:sz w:val="20"/>
                <w:szCs w:val="20"/>
              </w:rPr>
            </w:pPr>
            <w:r w:rsidRPr="00B95B73">
              <w:rPr>
                <w:b/>
                <w:bCs/>
                <w:color w:val="FFFFFF"/>
                <w:sz w:val="20"/>
                <w:szCs w:val="20"/>
              </w:rPr>
              <w:t>Annual Hours</w:t>
            </w:r>
          </w:p>
        </w:tc>
      </w:tr>
      <w:tr w:rsidR="00FF36DD" w:rsidRPr="00B95B73" w14:paraId="14FFC711" w14:textId="77777777" w:rsidTr="00B823EB">
        <w:trPr>
          <w:trHeight w:val="216"/>
          <w:jc w:val="center"/>
        </w:trPr>
        <w:tc>
          <w:tcPr>
            <w:tcW w:w="4343" w:type="dxa"/>
            <w:shd w:val="pct20" w:color="000000" w:fill="FFFFFF"/>
            <w:noWrap/>
            <w:vAlign w:val="center"/>
          </w:tcPr>
          <w:p w14:paraId="33E37244" w14:textId="77777777" w:rsidR="00FF36DD" w:rsidRPr="00B95B73" w:rsidRDefault="00FF36DD" w:rsidP="00B823EB">
            <w:pPr>
              <w:jc w:val="center"/>
              <w:rPr>
                <w:bCs/>
                <w:sz w:val="20"/>
                <w:szCs w:val="20"/>
              </w:rPr>
            </w:pPr>
            <w:r>
              <w:rPr>
                <w:bCs/>
                <w:sz w:val="20"/>
                <w:szCs w:val="20"/>
              </w:rPr>
              <w:t>15 hp or less</w:t>
            </w:r>
          </w:p>
        </w:tc>
        <w:tc>
          <w:tcPr>
            <w:tcW w:w="2902" w:type="dxa"/>
            <w:shd w:val="pct20" w:color="000000" w:fill="FFFFFF"/>
            <w:noWrap/>
            <w:vAlign w:val="center"/>
          </w:tcPr>
          <w:p w14:paraId="37A37657" w14:textId="77777777" w:rsidR="00FF36DD" w:rsidRPr="00B95B73" w:rsidRDefault="00FF36DD" w:rsidP="00B823EB">
            <w:pPr>
              <w:jc w:val="center"/>
              <w:rPr>
                <w:sz w:val="20"/>
                <w:szCs w:val="20"/>
              </w:rPr>
            </w:pPr>
            <w:r>
              <w:rPr>
                <w:sz w:val="20"/>
                <w:szCs w:val="20"/>
              </w:rPr>
              <w:t>747</w:t>
            </w:r>
          </w:p>
        </w:tc>
      </w:tr>
      <w:tr w:rsidR="00FF36DD" w:rsidRPr="00B95B73" w14:paraId="4E9E9209" w14:textId="77777777" w:rsidTr="00B823EB">
        <w:trPr>
          <w:trHeight w:val="216"/>
          <w:jc w:val="center"/>
        </w:trPr>
        <w:tc>
          <w:tcPr>
            <w:tcW w:w="4343" w:type="dxa"/>
            <w:shd w:val="pct5" w:color="000000" w:fill="FFFFFF"/>
            <w:noWrap/>
            <w:vAlign w:val="center"/>
          </w:tcPr>
          <w:p w14:paraId="33849A63" w14:textId="77777777" w:rsidR="00FF36DD" w:rsidRPr="00B95B73" w:rsidRDefault="00FF36DD" w:rsidP="00B823EB">
            <w:pPr>
              <w:jc w:val="center"/>
              <w:rPr>
                <w:bCs/>
                <w:sz w:val="20"/>
                <w:szCs w:val="20"/>
              </w:rPr>
            </w:pPr>
            <w:r>
              <w:rPr>
                <w:bCs/>
                <w:sz w:val="20"/>
                <w:szCs w:val="20"/>
              </w:rPr>
              <w:t>Greater than 15 hp</w:t>
            </w:r>
          </w:p>
        </w:tc>
        <w:tc>
          <w:tcPr>
            <w:tcW w:w="2902" w:type="dxa"/>
            <w:shd w:val="pct5" w:color="000000" w:fill="FFFFFF"/>
            <w:noWrap/>
            <w:vAlign w:val="center"/>
          </w:tcPr>
          <w:p w14:paraId="01239F2F" w14:textId="77777777" w:rsidR="00FF36DD" w:rsidRPr="00B95B73" w:rsidRDefault="00FF36DD" w:rsidP="00B823EB">
            <w:pPr>
              <w:jc w:val="center"/>
              <w:rPr>
                <w:sz w:val="20"/>
                <w:szCs w:val="20"/>
              </w:rPr>
            </w:pPr>
            <w:r>
              <w:rPr>
                <w:sz w:val="20"/>
                <w:szCs w:val="20"/>
              </w:rPr>
              <w:t>1,015</w:t>
            </w:r>
          </w:p>
        </w:tc>
      </w:tr>
    </w:tbl>
    <w:p w14:paraId="34553372" w14:textId="77777777" w:rsidR="00FF36DD" w:rsidRPr="00780756" w:rsidRDefault="00FF36DD" w:rsidP="00FF36DD">
      <w:pPr>
        <w:ind w:left="1080" w:right="1080" w:hanging="1080"/>
      </w:pPr>
    </w:p>
    <w:p w14:paraId="43A368FE" w14:textId="77777777" w:rsidR="00FF36DD" w:rsidRPr="00997D53" w:rsidRDefault="00FF36DD" w:rsidP="00FF36DD">
      <w:pPr>
        <w:pStyle w:val="BasicText"/>
        <w:tabs>
          <w:tab w:val="left" w:pos="4140"/>
        </w:tabs>
        <w:ind w:left="0"/>
        <w:rPr>
          <w:i/>
        </w:rPr>
      </w:pPr>
      <w:r>
        <w:rPr>
          <w:i/>
        </w:rPr>
        <w:t>Agricultural</w:t>
      </w:r>
      <w:r w:rsidRPr="00997D53">
        <w:rPr>
          <w:i/>
        </w:rPr>
        <w:t xml:space="preserve"> Sector</w:t>
      </w:r>
    </w:p>
    <w:p w14:paraId="15E954CA" w14:textId="20114FA3" w:rsidR="00FF36DD" w:rsidRDefault="00FF36DD" w:rsidP="005B0CB2">
      <w:pPr>
        <w:spacing w:after="120"/>
      </w:pPr>
      <w:r w:rsidRPr="00034DE6">
        <w:t>No direct data have been found on runtime for motors</w:t>
      </w:r>
      <w:r>
        <w:t xml:space="preserve"> for </w:t>
      </w:r>
      <w:r w:rsidRPr="003A7574">
        <w:t>agricultural application. The best inferred data is that associated with agricultural pump energy measures as presented in the 2005 DEER database</w:t>
      </w:r>
      <w:r w:rsidR="006B1EC5">
        <w:rPr>
          <w:rStyle w:val="EndnoteReference"/>
        </w:rPr>
        <w:endnoteReference w:id="6"/>
      </w:r>
      <w:r w:rsidRPr="003A7574">
        <w:t>. Chapter 4.1 of the DEER database reference presents</w:t>
      </w:r>
      <w:r w:rsidRPr="00034DE6">
        <w:t xml:space="preserve"> irrigation savings for flow reduction measures in terms</w:t>
      </w:r>
      <w:r>
        <w:t xml:space="preserve"> of energy and demand savings. </w:t>
      </w:r>
      <w:r w:rsidRPr="00034DE6">
        <w:t>Pumping runtime is estimated as the ratio of energy t</w:t>
      </w:r>
      <w:r>
        <w:t>o demand savings. Pump runtimes</w:t>
      </w:r>
      <w:r w:rsidRPr="00034DE6">
        <w:t xml:space="preserve"> </w:t>
      </w:r>
      <w:r>
        <w:t>(</w:t>
      </w:r>
      <w:r w:rsidRPr="00034DE6">
        <w:t>as determined by the ra</w:t>
      </w:r>
      <w:r>
        <w:t>tio of energy to demand savings)</w:t>
      </w:r>
      <w:r w:rsidRPr="00034DE6">
        <w:t xml:space="preserve"> appear to vary with the pumping system type (portable or solid-set)</w:t>
      </w:r>
      <w:r>
        <w:t xml:space="preserve">, </w:t>
      </w:r>
      <w:r w:rsidRPr="00034DE6">
        <w:t>but not by locatio</w:t>
      </w:r>
      <w:r>
        <w:t xml:space="preserve">n. </w:t>
      </w:r>
      <w:r w:rsidRPr="00034DE6">
        <w:t>Portable runtimes are 1,000 hours/year; s</w:t>
      </w:r>
      <w:r>
        <w:t xml:space="preserve">olid set are 2,500 hours/year. </w:t>
      </w:r>
      <w:r w:rsidRPr="00034DE6">
        <w:t>An average of 1,750 hours per year is used for all agricultural applications until such time that better information is available.</w:t>
      </w:r>
    </w:p>
    <w:p w14:paraId="42486A6B" w14:textId="77777777" w:rsidR="004C6CCE" w:rsidRDefault="004C6CCE" w:rsidP="005B0CB2">
      <w:pPr>
        <w:spacing w:after="120"/>
      </w:pPr>
      <w:bookmarkStart w:id="22" w:name="_GoBack"/>
      <w:bookmarkEnd w:id="22"/>
    </w:p>
    <w:p w14:paraId="03E8136D" w14:textId="77777777" w:rsidR="004C6CCE" w:rsidRPr="00086594" w:rsidRDefault="004C6CCE" w:rsidP="004C6CCE">
      <w:pPr>
        <w:rPr>
          <w:i/>
        </w:rPr>
      </w:pPr>
      <w:r w:rsidRPr="00086594">
        <w:rPr>
          <w:i/>
        </w:rPr>
        <w:t>∆Watts/unit:</w:t>
      </w:r>
    </w:p>
    <w:p w14:paraId="73157B2B" w14:textId="4737CFDE" w:rsidR="00755F2F" w:rsidRPr="00E46DC6" w:rsidRDefault="004C6CCE" w:rsidP="004C6CCE">
      <w:pPr>
        <w:pStyle w:val="BasicText"/>
      </w:pPr>
      <w:r>
        <w:t xml:space="preserve">The </w:t>
      </w:r>
      <w:r w:rsidRPr="00086594">
        <w:rPr>
          <w:i/>
        </w:rPr>
        <w:t>∆Watts/unit</w:t>
      </w:r>
      <w:r>
        <w:t xml:space="preserve"> achieved by the measure was calculated using the following formula:</w:t>
      </w:r>
    </w:p>
    <w:p w14:paraId="58ED920A" w14:textId="77777777" w:rsidR="004C6CCE" w:rsidRDefault="004C6CCE" w:rsidP="004C6CCE">
      <w:pPr>
        <w:pStyle w:val="BasicText"/>
      </w:pPr>
    </w:p>
    <w:p w14:paraId="2D085F94" w14:textId="1BA5DB97" w:rsidR="004C6CCE" w:rsidRDefault="00755F2F" w:rsidP="004C6CCE">
      <w:pPr>
        <w:pStyle w:val="BasicText"/>
        <w:ind w:left="0"/>
      </w:pPr>
      <w:r w:rsidRPr="00275AB4">
        <w:rPr>
          <w:position w:val="-28"/>
        </w:rPr>
        <w:object w:dxaOrig="9700" w:dyaOrig="680" w14:anchorId="6BFA7F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75pt;height:34.35pt" o:ole="">
            <v:imagedata r:id="rId16" o:title=""/>
          </v:shape>
          <o:OLEObject Type="Embed" ProgID="Equation.3" ShapeID="_x0000_i1025" DrawAspect="Content" ObjectID="_1536670362" r:id="rId17"/>
        </w:object>
      </w:r>
      <w:r w:rsidR="004C6CCE">
        <w:tab/>
        <w:t xml:space="preserve"> </w:t>
      </w:r>
    </w:p>
    <w:p w14:paraId="3547715B" w14:textId="77777777" w:rsidR="004C6CCE" w:rsidRDefault="004C6CCE" w:rsidP="004C6CCE">
      <w:pPr>
        <w:pStyle w:val="BasicText"/>
      </w:pPr>
    </w:p>
    <w:p w14:paraId="59A60AB5" w14:textId="35F6AAC7" w:rsidR="004C6CCE" w:rsidRDefault="004C6CCE" w:rsidP="004C6CCE">
      <w:pPr>
        <w:spacing w:after="120"/>
      </w:pPr>
      <w:r w:rsidRPr="00CF045D">
        <w:t>Motor load</w:t>
      </w:r>
      <w:r>
        <w:t>ing was assumed to a constant 65% for the base case and measure case motors. The % rewind is the percentage of motors that are assumed to be rewound in the absence of the program.</w:t>
      </w:r>
    </w:p>
    <w:p w14:paraId="5D83B2E3" w14:textId="77777777" w:rsidR="00755F2F" w:rsidRDefault="00755F2F" w:rsidP="004C6CCE">
      <w:pPr>
        <w:spacing w:after="120"/>
      </w:pPr>
    </w:p>
    <w:p w14:paraId="3B603207" w14:textId="746C09B6" w:rsidR="00755F2F" w:rsidRDefault="00755F2F" w:rsidP="004C6CCE">
      <w:pPr>
        <w:spacing w:after="120"/>
      </w:pPr>
      <w:r>
        <w:t>The coincident demand savings is the demand reduction multiplied by a coincident diversity factor of 0.64.</w:t>
      </w:r>
    </w:p>
    <w:p w14:paraId="6FBD7CC8" w14:textId="77777777" w:rsidR="00755F2F" w:rsidRDefault="00755F2F" w:rsidP="004C6CCE">
      <w:pPr>
        <w:spacing w:after="120"/>
      </w:pPr>
    </w:p>
    <w:p w14:paraId="5368F3A0" w14:textId="7FDCD672" w:rsidR="00755F2F" w:rsidRPr="00E46DC6" w:rsidRDefault="00755F2F" w:rsidP="004C6CCE">
      <w:pPr>
        <w:spacing w:after="120"/>
        <w:rPr>
          <w:rFonts w:ascii="Times New Roman" w:hAnsi="Times New Roman"/>
        </w:rPr>
      </w:pPr>
      <m:oMathPara>
        <m:oMath>
          <m:r>
            <w:rPr>
              <w:rFonts w:ascii="Cambria Math" w:hAnsi="Cambria Math"/>
            </w:rPr>
            <m:t>Coincident peak demand reduction</m:t>
          </m:r>
          <m:d>
            <m:dPr>
              <m:begChr m:val="["/>
              <m:endChr m:val="]"/>
              <m:ctrlPr>
                <w:rPr>
                  <w:rFonts w:ascii="Cambria Math" w:hAnsi="Cambria Math"/>
                  <w:i/>
                </w:rPr>
              </m:ctrlPr>
            </m:dPr>
            <m:e>
              <m:f>
                <m:fPr>
                  <m:ctrlPr>
                    <w:rPr>
                      <w:rFonts w:ascii="Cambria Math" w:hAnsi="Cambria Math"/>
                      <w:i/>
                    </w:rPr>
                  </m:ctrlPr>
                </m:fPr>
                <m:num>
                  <m:r>
                    <w:rPr>
                      <w:rFonts w:ascii="Cambria Math" w:hAnsi="Cambria Math"/>
                    </w:rPr>
                    <m:t>kW</m:t>
                  </m:r>
                </m:num>
                <m:den>
                  <m:r>
                    <w:rPr>
                      <w:rFonts w:ascii="Cambria Math" w:hAnsi="Cambria Math"/>
                    </w:rPr>
                    <m:t>unit</m:t>
                  </m:r>
                </m:den>
              </m:f>
            </m:e>
          </m:d>
          <m:r>
            <w:rPr>
              <w:rFonts w:ascii="Cambria Math" w:hAnsi="Cambria Math"/>
            </w:rPr>
            <m:t>=</m:t>
          </m:r>
          <m:f>
            <m:fPr>
              <m:ctrlPr>
                <w:rPr>
                  <w:rFonts w:ascii="Cambria Math" w:hAnsi="Cambria Math"/>
                  <w:i/>
                </w:rPr>
              </m:ctrlPr>
            </m:fPr>
            <m:num>
              <m:r>
                <w:rPr>
                  <w:rFonts w:ascii="Cambria Math" w:hAnsi="Cambria Math"/>
                </w:rPr>
                <m:t>∆kWatts</m:t>
              </m:r>
            </m:num>
            <m:den>
              <m:r>
                <w:rPr>
                  <w:rFonts w:ascii="Cambria Math" w:hAnsi="Cambria Math"/>
                </w:rPr>
                <m:t>Unit</m:t>
              </m:r>
            </m:den>
          </m:f>
          <m:r>
            <w:rPr>
              <w:rFonts w:ascii="Cambria Math" w:hAnsi="Cambria Math"/>
            </w:rPr>
            <m:t>x (0.64 CDF)</m:t>
          </m:r>
        </m:oMath>
      </m:oMathPara>
    </w:p>
    <w:p w14:paraId="59784BD3" w14:textId="77777777" w:rsidR="004C6CCE" w:rsidRDefault="004C6CCE" w:rsidP="004C6CCE">
      <w:pPr>
        <w:spacing w:after="120"/>
      </w:pPr>
    </w:p>
    <w:p w14:paraId="05EA5D74" w14:textId="77777777" w:rsidR="004C6CCE" w:rsidRPr="005369AF" w:rsidRDefault="004C6CCE" w:rsidP="004C6CCE">
      <w:r>
        <w:rPr>
          <w:i/>
        </w:rPr>
        <w:t>Annual Electric</w:t>
      </w:r>
      <w:r w:rsidRPr="00086594">
        <w:rPr>
          <w:i/>
        </w:rPr>
        <w:t xml:space="preserve"> Savings:</w:t>
      </w:r>
    </w:p>
    <w:p w14:paraId="0B0FE9A2" w14:textId="77777777" w:rsidR="004C6CCE" w:rsidRPr="00CF045D" w:rsidRDefault="004C6CCE" w:rsidP="004C6CCE"/>
    <w:p w14:paraId="7C82B20E" w14:textId="77777777" w:rsidR="004C6CCE" w:rsidRDefault="004C6CCE" w:rsidP="004C6CCE">
      <w:r w:rsidRPr="00CF045D">
        <w:t xml:space="preserve">Annual electric savings achieved by the measure is calculated using the following formula: </w:t>
      </w:r>
    </w:p>
    <w:p w14:paraId="3CF5CADB" w14:textId="77777777" w:rsidR="004C6CCE" w:rsidRPr="00CF045D" w:rsidRDefault="004C6CCE" w:rsidP="004C6CCE"/>
    <w:p w14:paraId="3C74127E" w14:textId="12287178" w:rsidR="004C6CCE" w:rsidRDefault="004C6CCE" w:rsidP="004C6CCE">
      <w:pPr>
        <w:ind w:left="720"/>
      </w:pPr>
      <w:r w:rsidRPr="005369AF">
        <w:rPr>
          <w:position w:val="-28"/>
        </w:rPr>
        <w:object w:dxaOrig="6280" w:dyaOrig="680" w14:anchorId="6AA98F46">
          <v:shape id="_x0000_i1026" type="#_x0000_t75" style="width:313.95pt;height:34.35pt" o:ole="">
            <v:imagedata r:id="rId18" o:title=""/>
          </v:shape>
          <o:OLEObject Type="Embed" ProgID="Equation.3" ShapeID="_x0000_i1026" DrawAspect="Content" ObjectID="_1536670363" r:id="rId19"/>
        </w:object>
      </w:r>
      <w:r>
        <w:tab/>
      </w:r>
      <w:r w:rsidR="00755F2F">
        <w:tab/>
      </w:r>
      <w:r w:rsidR="00755F2F">
        <w:tab/>
      </w:r>
    </w:p>
    <w:p w14:paraId="4BF64AEF" w14:textId="77777777" w:rsidR="004C6CCE" w:rsidRDefault="004C6CCE" w:rsidP="004C6CCE"/>
    <w:p w14:paraId="42A58086" w14:textId="39A70032" w:rsidR="004C6CCE" w:rsidRDefault="004C6CCE" w:rsidP="004C6CCE">
      <w:r>
        <w:t xml:space="preserve">These calculations were made for TEFC and ODP </w:t>
      </w:r>
      <w:r w:rsidR="00CE43BD">
        <w:t xml:space="preserve">motors. </w:t>
      </w:r>
      <w:r>
        <w:t>To obtain a single savings value, a weighted average calculation was made assuming following percentages:</w:t>
      </w:r>
    </w:p>
    <w:p w14:paraId="62407C61" w14:textId="77777777" w:rsidR="004C6CCE" w:rsidRDefault="004C6CCE" w:rsidP="004C6CCE">
      <w:pPr>
        <w:ind w:left="720"/>
      </w:pPr>
    </w:p>
    <w:p w14:paraId="5EF07E10" w14:textId="22076F00" w:rsidR="004C6CCE" w:rsidRDefault="004C6CCE" w:rsidP="004C6CCE">
      <w:pPr>
        <w:numPr>
          <w:ilvl w:val="0"/>
          <w:numId w:val="36"/>
        </w:numPr>
        <w:ind w:left="720"/>
      </w:pPr>
      <w:r>
        <w:t>78% of motor sales are TEFC and 22% are ODP (used for both existing and above code energy savings analysis)</w:t>
      </w:r>
      <w:r w:rsidR="00CE43BD">
        <w:t xml:space="preserve"> from the 2010 PG&amp;E Upstream Motors Program. Savings are also weighted by</w:t>
      </w:r>
      <w:r w:rsidR="00A50EEC">
        <w:t xml:space="preserve"> the distribution of motor RPMs.</w:t>
      </w:r>
      <w:r w:rsidR="00CE43BD">
        <w:t xml:space="preserve"> </w:t>
      </w:r>
    </w:p>
    <w:p w14:paraId="4D8C41B6" w14:textId="77777777" w:rsidR="004C6CCE" w:rsidRDefault="004C6CCE" w:rsidP="004C6CCE">
      <w:pPr>
        <w:pStyle w:val="Caption"/>
        <w:rPr>
          <w:sz w:val="24"/>
          <w:szCs w:val="24"/>
        </w:rPr>
      </w:pPr>
    </w:p>
    <w:p w14:paraId="6F27744B" w14:textId="4D3AFA00" w:rsidR="004C6CCE" w:rsidRDefault="004C6CCE" w:rsidP="006C1C2E">
      <w:r>
        <w:t xml:space="preserve">Finally, According to </w:t>
      </w:r>
      <w:r w:rsidRPr="00A346A5">
        <w:t>Attachment A, Section 1.6.</w:t>
      </w:r>
      <w:r>
        <w:t>9</w:t>
      </w:r>
      <w:r w:rsidRPr="00A346A5">
        <w:t xml:space="preserve"> of the CPUC Energy Division Phase 2 Workpaper</w:t>
      </w:r>
      <w:r>
        <w:t xml:space="preserve"> Review and Measure Disposition</w:t>
      </w:r>
      <w:r w:rsidRPr="00690F25">
        <w:rPr>
          <w:vertAlign w:val="superscript"/>
        </w:rPr>
        <w:t>7</w:t>
      </w:r>
      <w:r>
        <w:t xml:space="preserve"> recommends that the savings estimates should be reduced by 20% to account for an 80% in service rate (ISR). The ISR adjusted energy savings is calculated by multiplying the energy savings (calculated above) by the ISR of 0.8.</w:t>
      </w:r>
    </w:p>
    <w:p w14:paraId="57A550E3" w14:textId="77777777" w:rsidR="004C6CCE" w:rsidRPr="005B0CB2" w:rsidRDefault="004C6CCE" w:rsidP="005B0CB2">
      <w:pPr>
        <w:spacing w:after="120"/>
      </w:pP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229FD6EB" w14:textId="26A719F5" w:rsidR="00E16609" w:rsidRPr="00500C4E" w:rsidRDefault="00E16609" w:rsidP="00CF464D">
      <w:pPr>
        <w:pStyle w:val="Reminder"/>
        <w:rPr>
          <w:rFonts w:asciiTheme="minorHAnsi" w:hAnsiTheme="minorHAnsi" w:cstheme="minorHAnsi"/>
          <w:i w:val="0"/>
          <w:szCs w:val="22"/>
        </w:rPr>
      </w:pP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348F68A4" w:rsidR="00263C1C" w:rsidRPr="00DB326E" w:rsidRDefault="00DB326E" w:rsidP="00BA2E7E">
            <w:pPr>
              <w:rPr>
                <w:rFonts w:cstheme="minorHAnsi"/>
                <w:szCs w:val="20"/>
              </w:rPr>
            </w:pPr>
            <w:r w:rsidRPr="00DB326E">
              <w:rPr>
                <w:rFonts w:cstheme="minorHAnsi"/>
                <w:szCs w:val="20"/>
              </w:rPr>
              <w:t>Commercial</w:t>
            </w:r>
          </w:p>
        </w:tc>
        <w:tc>
          <w:tcPr>
            <w:tcW w:w="1779" w:type="pct"/>
          </w:tcPr>
          <w:p w14:paraId="3B2DCD1E" w14:textId="43860D0F" w:rsidR="00263C1C" w:rsidRPr="00DB326E" w:rsidRDefault="00DB326E" w:rsidP="00BA2E7E">
            <w:pPr>
              <w:rPr>
                <w:rFonts w:cstheme="minorHAnsi"/>
                <w:szCs w:val="20"/>
              </w:rPr>
            </w:pPr>
            <w:r w:rsidRPr="00DB326E">
              <w:rPr>
                <w:rFonts w:cstheme="minorHAnsi"/>
                <w:szCs w:val="20"/>
              </w:rPr>
              <w:t>PGE:6 = Commercial Motors</w:t>
            </w:r>
          </w:p>
        </w:tc>
        <w:tc>
          <w:tcPr>
            <w:tcW w:w="1535" w:type="pct"/>
          </w:tcPr>
          <w:p w14:paraId="6722CD8A" w14:textId="77777777" w:rsidR="00263C1C" w:rsidRPr="00DB326E" w:rsidRDefault="00263C1C" w:rsidP="00BA2E7E">
            <w:pPr>
              <w:rPr>
                <w:rFonts w:cstheme="minorHAnsi"/>
                <w:szCs w:val="20"/>
              </w:rPr>
            </w:pPr>
            <w:r w:rsidRPr="00DB326E">
              <w:rPr>
                <w:rFonts w:cstheme="minorHAnsi"/>
                <w:szCs w:val="20"/>
              </w:rPr>
              <w:t>NON_RES</w:t>
            </w:r>
          </w:p>
        </w:tc>
      </w:tr>
    </w:tbl>
    <w:p w14:paraId="52C9214C" w14:textId="5A04C955" w:rsidR="005552C3" w:rsidRDefault="00F95E2F" w:rsidP="00920905">
      <w:pPr>
        <w:pStyle w:val="Heading1"/>
      </w:pPr>
      <w:r>
        <w:t>Section 4. Costs</w:t>
      </w:r>
    </w:p>
    <w:p w14:paraId="2E760E7F" w14:textId="61DD17CC" w:rsidR="00FE5FAF" w:rsidRPr="00920905" w:rsidRDefault="00A13B48" w:rsidP="00920905">
      <w:pPr>
        <w:pStyle w:val="NoSpacing"/>
      </w:pPr>
      <w:r w:rsidRPr="00A13B48">
        <w:rPr>
          <w:i/>
        </w:rPr>
        <w:t>Vaughen’s Motor and Pump Repair Price Guide</w:t>
      </w:r>
      <w:r w:rsidR="00964BF6">
        <w:t>, 2016 Edition provides rewind costs and new motor costs for motors up to 400 HP</w:t>
      </w:r>
      <w:r w:rsidR="00A50EEC">
        <w:t xml:space="preserve"> (Workpaper costs for the 450 HP and 500 HP categories assume the same cost per HP as a 400 HP motor)</w:t>
      </w:r>
      <w:r w:rsidR="00964BF6">
        <w:t xml:space="preserve">. </w:t>
      </w:r>
      <w:r w:rsidR="00F04C03">
        <w:t>The base and measure case costs are weighted by percentage of ODP and TEFC motors as well as motor RPM, and the difference is the IMC for each horsepower category.</w:t>
      </w:r>
    </w:p>
    <w:p w14:paraId="4696E137" w14:textId="77777777" w:rsidR="00E16609" w:rsidRDefault="00E16609" w:rsidP="00824F1C">
      <w:pPr>
        <w:pStyle w:val="Heading2"/>
        <w:rPr>
          <w:rFonts w:asciiTheme="minorHAnsi" w:hAnsiTheme="minorHAnsi" w:cstheme="minorHAnsi"/>
        </w:rPr>
      </w:pPr>
      <w:bookmarkStart w:id="23" w:name="_MON_1399297811"/>
      <w:bookmarkStart w:id="24" w:name="_Toc214003097"/>
      <w:bookmarkEnd w:id="23"/>
      <w:r w:rsidRPr="00500C4E">
        <w:rPr>
          <w:rFonts w:asciiTheme="minorHAnsi" w:hAnsiTheme="minorHAnsi" w:cstheme="minorHAnsi"/>
        </w:rPr>
        <w:lastRenderedPageBreak/>
        <w:t>4.1 Base Case Cost</w:t>
      </w:r>
      <w:bookmarkEnd w:id="24"/>
    </w:p>
    <w:p w14:paraId="5BF63111" w14:textId="39FAD5DF" w:rsidR="00FE5FAF" w:rsidRPr="00B71F98" w:rsidRDefault="00964BF6" w:rsidP="00920905">
      <w:r w:rsidRPr="00B71F98">
        <w:t xml:space="preserve">The base case cost is the price to rewind an existing motor. </w:t>
      </w:r>
      <w:r w:rsidR="00B71F98" w:rsidRPr="00B71F98">
        <w:t xml:space="preserve">The stator rewind price for T frame ODP and TEFC motors from 50 HP to 400 HP were taken from Vaughen’s Price Guide. </w:t>
      </w:r>
    </w:p>
    <w:p w14:paraId="44713B57" w14:textId="77777777" w:rsidR="005A0E53" w:rsidRPr="00500C4E" w:rsidRDefault="005A0E53" w:rsidP="005A0E53">
      <w:pPr>
        <w:pStyle w:val="Heading2"/>
        <w:rPr>
          <w:rFonts w:asciiTheme="minorHAnsi" w:hAnsiTheme="minorHAnsi" w:cstheme="minorHAnsi"/>
        </w:rPr>
      </w:pPr>
      <w:bookmarkStart w:id="25" w:name="_Toc214003098"/>
      <w:r w:rsidRPr="00500C4E">
        <w:rPr>
          <w:rFonts w:asciiTheme="minorHAnsi" w:hAnsiTheme="minorHAnsi" w:cstheme="minorHAnsi"/>
        </w:rPr>
        <w:t>4.2 Measure Case Cost</w:t>
      </w:r>
    </w:p>
    <w:p w14:paraId="46E9BEB6" w14:textId="694C19B3" w:rsidR="00FE5FAF" w:rsidRPr="00B71F98" w:rsidRDefault="00B71F98" w:rsidP="00FE5FAF">
      <w:r w:rsidRPr="00B71F98">
        <w:t>The measure case cost is the cost to purchase a new NEMA Premium Efficiency motor. In this workpaper, we use the price to the user for a premium efficiency ODP or TEFC motor from 50HP to 400 HP.</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5"/>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197D77">
        <w:tc>
          <w:tcPr>
            <w:tcW w:w="672" w:type="pct"/>
          </w:tcPr>
          <w:p w14:paraId="5021CC5B" w14:textId="77777777" w:rsidR="009C6FE0" w:rsidRPr="00DE77D0" w:rsidRDefault="009C6FE0" w:rsidP="00197D77">
            <w:pPr>
              <w:rPr>
                <w:rFonts w:cstheme="minorHAnsi"/>
                <w:szCs w:val="20"/>
              </w:rPr>
            </w:pPr>
            <w:r>
              <w:rPr>
                <w:rFonts w:cstheme="minorHAnsi"/>
                <w:szCs w:val="20"/>
              </w:rPr>
              <w:t>REF</w:t>
            </w:r>
          </w:p>
        </w:tc>
        <w:tc>
          <w:tcPr>
            <w:tcW w:w="1443" w:type="pct"/>
          </w:tcPr>
          <w:p w14:paraId="3BA9A303" w14:textId="77777777" w:rsidR="009C6FE0" w:rsidRPr="00DE77D0" w:rsidRDefault="009C6FE0" w:rsidP="00197D77">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197D77">
            <w:pPr>
              <w:rPr>
                <w:rFonts w:cstheme="minorHAnsi"/>
                <w:szCs w:val="20"/>
              </w:rPr>
            </w:pPr>
            <w:r>
              <w:rPr>
                <w:rFonts w:cstheme="minorHAnsi"/>
                <w:szCs w:val="20"/>
              </w:rPr>
              <w:t>MEC + MLC</w:t>
            </w:r>
          </w:p>
        </w:tc>
        <w:tc>
          <w:tcPr>
            <w:tcW w:w="1489" w:type="pct"/>
          </w:tcPr>
          <w:p w14:paraId="1C9B3EB4" w14:textId="77777777" w:rsidR="009C6FE0" w:rsidRPr="00DE77D0" w:rsidRDefault="009C6FE0" w:rsidP="00197D77">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F04C03">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F04C03">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F04C03">
        <w:tc>
          <w:tcPr>
            <w:tcW w:w="671" w:type="pct"/>
          </w:tcPr>
          <w:p w14:paraId="1B8D4FEE" w14:textId="0E2CA14F" w:rsidR="00F74B33" w:rsidRPr="004C2CB3" w:rsidRDefault="00F74B33" w:rsidP="00175D14">
            <w:pPr>
              <w:rPr>
                <w:rFonts w:cstheme="minorHAnsi"/>
                <w:szCs w:val="20"/>
              </w:rPr>
            </w:pPr>
            <w:r w:rsidRPr="004C2CB3">
              <w:rPr>
                <w:rFonts w:cstheme="minorHAnsi"/>
                <w:szCs w:val="20"/>
              </w:rPr>
              <w:t>ROB</w:t>
            </w:r>
          </w:p>
        </w:tc>
        <w:tc>
          <w:tcPr>
            <w:tcW w:w="1443" w:type="pct"/>
          </w:tcPr>
          <w:p w14:paraId="17400ED7" w14:textId="795C728A" w:rsidR="00F74B33" w:rsidRPr="004C2CB3" w:rsidRDefault="00F04C03" w:rsidP="00175D14">
            <w:pPr>
              <w:rPr>
                <w:rFonts w:cstheme="minorHAnsi"/>
                <w:szCs w:val="20"/>
              </w:rPr>
            </w:pPr>
            <w:r w:rsidRPr="004C2CB3">
              <w:rPr>
                <w:rFonts w:cstheme="minorHAnsi"/>
                <w:szCs w:val="20"/>
              </w:rPr>
              <w:t>Varies by HP</w:t>
            </w:r>
          </w:p>
        </w:tc>
        <w:tc>
          <w:tcPr>
            <w:tcW w:w="1396" w:type="pct"/>
          </w:tcPr>
          <w:p w14:paraId="0F861C7C" w14:textId="0DAD0FC8" w:rsidR="00F74B33" w:rsidRPr="004C2CB3" w:rsidRDefault="00F04C03" w:rsidP="00175D14">
            <w:pPr>
              <w:rPr>
                <w:rFonts w:cstheme="minorHAnsi"/>
                <w:szCs w:val="20"/>
              </w:rPr>
            </w:pPr>
            <w:r w:rsidRPr="004C2CB3">
              <w:rPr>
                <w:rFonts w:cstheme="minorHAnsi"/>
                <w:szCs w:val="20"/>
              </w:rPr>
              <w:t>Varies by HP</w:t>
            </w:r>
          </w:p>
        </w:tc>
        <w:tc>
          <w:tcPr>
            <w:tcW w:w="1489" w:type="pct"/>
          </w:tcPr>
          <w:p w14:paraId="26FF7460" w14:textId="77777777" w:rsidR="00F74B33" w:rsidRPr="004C2CB3" w:rsidRDefault="00F74B33" w:rsidP="00175D14">
            <w:pPr>
              <w:rPr>
                <w:rFonts w:cstheme="minorHAnsi"/>
                <w:szCs w:val="20"/>
              </w:rPr>
            </w:pPr>
            <w:r w:rsidRPr="004C2CB3">
              <w:rPr>
                <w:rFonts w:cstheme="minorHAnsi"/>
                <w:szCs w:val="20"/>
              </w:rPr>
              <w:t>N/A</w:t>
            </w:r>
          </w:p>
        </w:tc>
      </w:tr>
    </w:tbl>
    <w:p w14:paraId="2ED4FFF5" w14:textId="012090C1" w:rsidR="00C54EFF" w:rsidRPr="00500C4E" w:rsidRDefault="00C54EFF">
      <w:pPr>
        <w:spacing w:after="200" w:line="276" w:lineRule="auto"/>
        <w:rPr>
          <w:rFonts w:cstheme="minorHAnsi"/>
        </w:rPr>
      </w:pPr>
    </w:p>
    <w:p w14:paraId="01DD3B21" w14:textId="77777777" w:rsidR="006C1C2E" w:rsidRDefault="006C1C2E">
      <w:pPr>
        <w:spacing w:after="200" w:line="276" w:lineRule="auto"/>
        <w:rPr>
          <w:rFonts w:cstheme="minorHAnsi"/>
          <w:b/>
          <w:bCs/>
          <w:smallCaps/>
          <w:kern w:val="32"/>
          <w:sz w:val="36"/>
          <w:szCs w:val="32"/>
        </w:rPr>
      </w:pPr>
      <w:r>
        <w:rPr>
          <w:rFonts w:cstheme="minorHAnsi"/>
        </w:rPr>
        <w:br w:type="page"/>
      </w:r>
    </w:p>
    <w:p w14:paraId="3C6C156C" w14:textId="595DE313" w:rsidR="00C54EFF" w:rsidRPr="00500C4E" w:rsidRDefault="00C54EFF" w:rsidP="00C54EFF">
      <w:pPr>
        <w:pStyle w:val="Heading1"/>
        <w:rPr>
          <w:rFonts w:cstheme="minorHAnsi"/>
        </w:rPr>
      </w:pPr>
      <w:r w:rsidRPr="00500C4E">
        <w:rPr>
          <w:rFonts w:cstheme="minorHAnsi"/>
        </w:rPr>
        <w:lastRenderedPageBreak/>
        <w:t>References</w:t>
      </w:r>
    </w:p>
    <w:p w14:paraId="3DDEEF70" w14:textId="0C0D9BD9" w:rsidR="00480E7B" w:rsidRPr="00920905" w:rsidRDefault="00480E7B">
      <w:pPr>
        <w:rPr>
          <w:color w:val="FF0000"/>
        </w:rPr>
      </w:pPr>
    </w:p>
    <w:sectPr w:rsidR="00480E7B" w:rsidRPr="00920905" w:rsidSect="00E87C8F">
      <w:footerReference w:type="default" r:id="rId2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F05DB1" w:rsidRDefault="00F05DB1" w:rsidP="00447D6E">
      <w:r>
        <w:separator/>
      </w:r>
    </w:p>
    <w:p w14:paraId="3993C521" w14:textId="77777777" w:rsidR="00F05DB1" w:rsidRDefault="00F05DB1"/>
  </w:endnote>
  <w:endnote w:type="continuationSeparator" w:id="0">
    <w:p w14:paraId="5BC65380" w14:textId="77777777" w:rsidR="00F05DB1" w:rsidRDefault="00F05DB1" w:rsidP="00447D6E">
      <w:r>
        <w:continuationSeparator/>
      </w:r>
    </w:p>
    <w:p w14:paraId="627E2D8A" w14:textId="77777777" w:rsidR="00F05DB1" w:rsidRDefault="00F05DB1"/>
  </w:endnote>
  <w:endnote w:id="1">
    <w:p w14:paraId="22BCD820" w14:textId="77777777" w:rsidR="00F05DB1" w:rsidRPr="004F1093" w:rsidRDefault="00F05DB1" w:rsidP="002D21FC">
      <w:pPr>
        <w:pStyle w:val="EndnoteText"/>
      </w:pPr>
      <w:r w:rsidRPr="004F1093">
        <w:rPr>
          <w:rStyle w:val="EndnoteReference"/>
        </w:rPr>
        <w:endnoteRef/>
      </w:r>
      <w:r w:rsidRPr="004F1093">
        <w:t xml:space="preserve"> CPUC Energy Division Phase 2 Workpaper Review and Measure Disposition.</w:t>
      </w:r>
    </w:p>
  </w:endnote>
  <w:endnote w:id="2">
    <w:p w14:paraId="73173853" w14:textId="6A5A3DB6" w:rsidR="00F05DB1" w:rsidRDefault="00F05DB1" w:rsidP="00D564BC">
      <w:pPr>
        <w:pStyle w:val="EndnoteText"/>
      </w:pPr>
      <w:r>
        <w:rPr>
          <w:rStyle w:val="EndnoteReference"/>
        </w:rPr>
        <w:endnoteRef/>
      </w:r>
      <w:r>
        <w:t xml:space="preserve"> 2015 </w:t>
      </w:r>
      <w:r w:rsidRPr="00C030CD">
        <w:t>California Energy Regulations</w:t>
      </w:r>
      <w:r w:rsidRPr="00FB00A5">
        <w:t>, Public Utilities and Energy</w:t>
      </w:r>
      <w:r>
        <w:t xml:space="preserve"> (Title 20)</w:t>
      </w:r>
    </w:p>
  </w:endnote>
  <w:endnote w:id="3">
    <w:p w14:paraId="3561B513" w14:textId="3E9E8B6C" w:rsidR="00F05DB1" w:rsidRPr="004F1093" w:rsidRDefault="00F05DB1" w:rsidP="006D6FEA">
      <w:pPr>
        <w:pStyle w:val="EndnoteText"/>
      </w:pPr>
      <w:r w:rsidRPr="004F1093">
        <w:rPr>
          <w:rStyle w:val="EndnoteReference"/>
        </w:rPr>
        <w:endnoteRef/>
      </w:r>
      <w:r w:rsidRPr="004F1093">
        <w:t xml:space="preserve"> NEMA Standards Publication </w:t>
      </w:r>
      <w:r>
        <w:t>MG 1-2011</w:t>
      </w:r>
      <w:r w:rsidRPr="004F1093">
        <w:t>, Part 12, Page 33, Table 12-11 Full-Load Efficiencies of Energy Efficient Motors.</w:t>
      </w:r>
    </w:p>
  </w:endnote>
  <w:endnote w:id="4">
    <w:p w14:paraId="383A75D0" w14:textId="77777777" w:rsidR="00F05DB1" w:rsidRPr="004F1093" w:rsidRDefault="00F05DB1" w:rsidP="00FF36DD">
      <w:pPr>
        <w:pStyle w:val="EndnoteText"/>
      </w:pPr>
      <w:r w:rsidRPr="004F1093">
        <w:rPr>
          <w:rStyle w:val="EndnoteReference"/>
        </w:rPr>
        <w:endnoteRef/>
      </w:r>
      <w:r w:rsidRPr="004F1093">
        <w:t xml:space="preserve"> “United States Industrial Electric Motor Systems Market Opportunities Assessment,” Prepared by Xenergy Inc. for U.S. DOE, Burlington, MA, Dec.2002, pg 80; Table 3-15.</w:t>
      </w:r>
    </w:p>
  </w:endnote>
  <w:endnote w:id="5">
    <w:p w14:paraId="604A2C43" w14:textId="77777777" w:rsidR="00F05DB1" w:rsidRPr="004F1093" w:rsidRDefault="00F05DB1" w:rsidP="00FF36DD">
      <w:pPr>
        <w:pStyle w:val="EndnoteText"/>
      </w:pPr>
      <w:r w:rsidRPr="004F1093">
        <w:rPr>
          <w:rStyle w:val="EndnoteReference"/>
        </w:rPr>
        <w:endnoteRef/>
      </w:r>
      <w:r w:rsidRPr="004F1093">
        <w:t xml:space="preserve"> Evaluation Measurement and Verification of the California Public Utilities Commission HVAC High Impact Measures and Specialized Commercial Contract Group Programs, KEMA, December 2009.</w:t>
      </w:r>
    </w:p>
  </w:endnote>
  <w:endnote w:id="6">
    <w:p w14:paraId="296A0206" w14:textId="4F6DA611" w:rsidR="00F05DB1" w:rsidRDefault="00F05DB1">
      <w:pPr>
        <w:pStyle w:val="EndnoteText"/>
      </w:pPr>
      <w:r>
        <w:rPr>
          <w:rStyle w:val="EndnoteReference"/>
        </w:rPr>
        <w:endnoteRef/>
      </w:r>
      <w:r>
        <w:t xml:space="preserve"> </w:t>
      </w:r>
      <w:r w:rsidRPr="004F1093">
        <w:t xml:space="preserve">2004-05 Database for Energy Efficient Resources (DEER), Version 2.01, October 26, 2005. </w:t>
      </w:r>
      <w:hyperlink r:id="rId1" w:history="1">
        <w:r w:rsidRPr="004F1093">
          <w:t>http://eega.cpuc.ca.gov/deer/</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12177ED" w:rsidR="00F05DB1" w:rsidRDefault="00F05DB1"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6-09-29T00:00:00Z">
          <w:dateFormat w:val="MMMM d, yyyy"/>
          <w:lid w:val="en-US"/>
          <w:storeMappedDataAs w:val="dateTime"/>
          <w:calendar w:val="gregorian"/>
        </w:date>
      </w:sdtPr>
      <w:sdtContent>
        <w:r w:rsidR="005F1962">
          <w:rPr>
            <w:rFonts w:cstheme="minorHAnsi"/>
            <w:b/>
            <w:sz w:val="36"/>
            <w:szCs w:val="36"/>
          </w:rPr>
          <w:t xml:space="preserve">September 29, </w:t>
        </w:r>
        <w:r>
          <w:rPr>
            <w:rFonts w:cstheme="minorHAnsi"/>
            <w:b/>
            <w:sz w:val="36"/>
            <w:szCs w:val="36"/>
          </w:rPr>
          <w:t>2016</w:t>
        </w:r>
      </w:sdtContent>
    </w:sdt>
  </w:p>
  <w:p w14:paraId="650DB54B" w14:textId="670C7D5C" w:rsidR="00F05DB1" w:rsidRPr="009500DC" w:rsidRDefault="00F05DB1"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FF4B8AA" w:rsidR="00F05DB1" w:rsidRPr="009500DC" w:rsidRDefault="00F05DB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PGECOPUM105</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0</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5F1962">
      <w:rPr>
        <w:rFonts w:cstheme="minorHAnsi"/>
        <w:b/>
        <w:noProof/>
        <w:sz w:val="20"/>
        <w:szCs w:val="20"/>
      </w:rPr>
      <w:t>13</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09-29T00:00:00Z">
          <w:dateFormat w:val="MMMM d, yyyy"/>
          <w:lid w:val="en-US"/>
          <w:storeMappedDataAs w:val="dateTime"/>
          <w:calendar w:val="gregorian"/>
        </w:date>
      </w:sdtPr>
      <w:sdtContent>
        <w:r w:rsidR="005F1962">
          <w:rPr>
            <w:rFonts w:cstheme="minorHAnsi"/>
            <w:b/>
            <w:sz w:val="20"/>
            <w:szCs w:val="20"/>
          </w:rPr>
          <w:t>September 29, 2016</w:t>
        </w:r>
      </w:sdtContent>
    </w:sdt>
  </w:p>
  <w:p w14:paraId="43C07EA5" w14:textId="4D21E937" w:rsidR="00F05DB1" w:rsidRPr="009500DC" w:rsidRDefault="00F05DB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 Company</w:t>
        </w:r>
      </w:sdtContent>
    </w:sdt>
  </w:p>
  <w:p w14:paraId="4AC7586E" w14:textId="77777777" w:rsidR="00F05DB1" w:rsidRDefault="00F05DB1"/>
  <w:p w14:paraId="5C9861A8" w14:textId="77777777" w:rsidR="00F05DB1" w:rsidRDefault="00F05D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F05DB1" w:rsidRDefault="00F05DB1" w:rsidP="00447D6E">
      <w:r>
        <w:separator/>
      </w:r>
    </w:p>
    <w:p w14:paraId="32B34063" w14:textId="77777777" w:rsidR="00F05DB1" w:rsidRDefault="00F05DB1"/>
  </w:footnote>
  <w:footnote w:type="continuationSeparator" w:id="0">
    <w:p w14:paraId="7220C6D0" w14:textId="77777777" w:rsidR="00F05DB1" w:rsidRDefault="00F05DB1" w:rsidP="00447D6E">
      <w:r>
        <w:continuationSeparator/>
      </w:r>
    </w:p>
    <w:p w14:paraId="6E77FF76" w14:textId="77777777" w:rsidR="00F05DB1" w:rsidRDefault="00F05DB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539D5"/>
    <w:multiLevelType w:val="hybridMultilevel"/>
    <w:tmpl w:val="DC8477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226E1"/>
    <w:multiLevelType w:val="hybridMultilevel"/>
    <w:tmpl w:val="8E46A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691977"/>
    <w:multiLevelType w:val="hybridMultilevel"/>
    <w:tmpl w:val="D2F6CE46"/>
    <w:lvl w:ilvl="0" w:tplc="0BBEE1E6">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F64526A"/>
    <w:multiLevelType w:val="hybridMultilevel"/>
    <w:tmpl w:val="D3980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2"/>
  </w:num>
  <w:num w:numId="12">
    <w:abstractNumId w:val="15"/>
  </w:num>
  <w:num w:numId="13">
    <w:abstractNumId w:val="9"/>
  </w:num>
  <w:num w:numId="14">
    <w:abstractNumId w:val="33"/>
  </w:num>
  <w:num w:numId="15">
    <w:abstractNumId w:val="7"/>
  </w:num>
  <w:num w:numId="16">
    <w:abstractNumId w:val="11"/>
  </w:num>
  <w:num w:numId="17">
    <w:abstractNumId w:val="4"/>
  </w:num>
  <w:num w:numId="18">
    <w:abstractNumId w:val="0"/>
  </w:num>
  <w:num w:numId="19">
    <w:abstractNumId w:val="32"/>
  </w:num>
  <w:num w:numId="20">
    <w:abstractNumId w:val="3"/>
  </w:num>
  <w:num w:numId="21">
    <w:abstractNumId w:val="25"/>
  </w:num>
  <w:num w:numId="22">
    <w:abstractNumId w:val="26"/>
  </w:num>
  <w:num w:numId="23">
    <w:abstractNumId w:val="34"/>
  </w:num>
  <w:num w:numId="24">
    <w:abstractNumId w:val="31"/>
  </w:num>
  <w:num w:numId="25">
    <w:abstractNumId w:val="12"/>
  </w:num>
  <w:num w:numId="26">
    <w:abstractNumId w:val="14"/>
  </w:num>
  <w:num w:numId="27">
    <w:abstractNumId w:val="27"/>
  </w:num>
  <w:num w:numId="28">
    <w:abstractNumId w:val="13"/>
  </w:num>
  <w:num w:numId="29">
    <w:abstractNumId w:val="6"/>
  </w:num>
  <w:num w:numId="30">
    <w:abstractNumId w:val="1"/>
  </w:num>
  <w:num w:numId="31">
    <w:abstractNumId w:val="35"/>
  </w:num>
  <w:num w:numId="32">
    <w:abstractNumId w:val="24"/>
  </w:num>
  <w:num w:numId="33">
    <w:abstractNumId w:val="30"/>
  </w:num>
  <w:num w:numId="34">
    <w:abstractNumId w:val="8"/>
  </w:num>
  <w:num w:numId="35">
    <w:abstractNumId w:val="23"/>
  </w:num>
  <w:num w:numId="36">
    <w:abstractNumId w:val="29"/>
  </w:num>
  <w:num w:numId="37">
    <w:abstractNumId w:val="21"/>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63B5"/>
    <w:rsid w:val="00006E82"/>
    <w:rsid w:val="0001002B"/>
    <w:rsid w:val="00010806"/>
    <w:rsid w:val="00013F71"/>
    <w:rsid w:val="000173BF"/>
    <w:rsid w:val="000225A3"/>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86FBD"/>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43CB"/>
    <w:rsid w:val="00107242"/>
    <w:rsid w:val="00111CC5"/>
    <w:rsid w:val="001206F7"/>
    <w:rsid w:val="001236C1"/>
    <w:rsid w:val="00133EE8"/>
    <w:rsid w:val="00134D1D"/>
    <w:rsid w:val="00140B30"/>
    <w:rsid w:val="00147155"/>
    <w:rsid w:val="00150119"/>
    <w:rsid w:val="00153CB3"/>
    <w:rsid w:val="00154C3B"/>
    <w:rsid w:val="00160158"/>
    <w:rsid w:val="00165357"/>
    <w:rsid w:val="001722B7"/>
    <w:rsid w:val="001727D9"/>
    <w:rsid w:val="00174BB4"/>
    <w:rsid w:val="00175D14"/>
    <w:rsid w:val="001811EE"/>
    <w:rsid w:val="00185AD4"/>
    <w:rsid w:val="001979AF"/>
    <w:rsid w:val="00197D77"/>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87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974E4"/>
    <w:rsid w:val="002A03FC"/>
    <w:rsid w:val="002A1843"/>
    <w:rsid w:val="002A3D26"/>
    <w:rsid w:val="002A523E"/>
    <w:rsid w:val="002B1ADF"/>
    <w:rsid w:val="002B502E"/>
    <w:rsid w:val="002B657B"/>
    <w:rsid w:val="002C2853"/>
    <w:rsid w:val="002C444C"/>
    <w:rsid w:val="002C458F"/>
    <w:rsid w:val="002C57AA"/>
    <w:rsid w:val="002C6C20"/>
    <w:rsid w:val="002C6C7A"/>
    <w:rsid w:val="002C7F78"/>
    <w:rsid w:val="002D21FC"/>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3CA9"/>
    <w:rsid w:val="00364CC6"/>
    <w:rsid w:val="003650F6"/>
    <w:rsid w:val="0036726C"/>
    <w:rsid w:val="003832D2"/>
    <w:rsid w:val="003845E5"/>
    <w:rsid w:val="00393137"/>
    <w:rsid w:val="00397406"/>
    <w:rsid w:val="003A3170"/>
    <w:rsid w:val="003A360E"/>
    <w:rsid w:val="003B531C"/>
    <w:rsid w:val="003C2278"/>
    <w:rsid w:val="003D17FF"/>
    <w:rsid w:val="003D2871"/>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C2CB3"/>
    <w:rsid w:val="004C6CCE"/>
    <w:rsid w:val="004D069A"/>
    <w:rsid w:val="004E01F5"/>
    <w:rsid w:val="004E297E"/>
    <w:rsid w:val="004E76CA"/>
    <w:rsid w:val="004F1698"/>
    <w:rsid w:val="0050091B"/>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1230"/>
    <w:rsid w:val="00594EF5"/>
    <w:rsid w:val="005A0E53"/>
    <w:rsid w:val="005A1078"/>
    <w:rsid w:val="005A4658"/>
    <w:rsid w:val="005A496B"/>
    <w:rsid w:val="005B0CB2"/>
    <w:rsid w:val="005B28C1"/>
    <w:rsid w:val="005B6344"/>
    <w:rsid w:val="005C1C74"/>
    <w:rsid w:val="005C2E48"/>
    <w:rsid w:val="005C3F23"/>
    <w:rsid w:val="005D4DD7"/>
    <w:rsid w:val="005E12A9"/>
    <w:rsid w:val="005F139E"/>
    <w:rsid w:val="005F1962"/>
    <w:rsid w:val="005F4203"/>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1EC5"/>
    <w:rsid w:val="006B27FA"/>
    <w:rsid w:val="006B4A48"/>
    <w:rsid w:val="006C1C2E"/>
    <w:rsid w:val="006C2C55"/>
    <w:rsid w:val="006C430A"/>
    <w:rsid w:val="006D2809"/>
    <w:rsid w:val="006D6FEA"/>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55F2F"/>
    <w:rsid w:val="00760CDC"/>
    <w:rsid w:val="00764D0D"/>
    <w:rsid w:val="00777C53"/>
    <w:rsid w:val="00786E92"/>
    <w:rsid w:val="007933F1"/>
    <w:rsid w:val="007A5F52"/>
    <w:rsid w:val="007B090A"/>
    <w:rsid w:val="007C452E"/>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64BF6"/>
    <w:rsid w:val="00972C81"/>
    <w:rsid w:val="009824E9"/>
    <w:rsid w:val="009826E5"/>
    <w:rsid w:val="009844A1"/>
    <w:rsid w:val="00986E20"/>
    <w:rsid w:val="00995479"/>
    <w:rsid w:val="00995CB0"/>
    <w:rsid w:val="00997E77"/>
    <w:rsid w:val="009A0E11"/>
    <w:rsid w:val="009A2734"/>
    <w:rsid w:val="009B2A02"/>
    <w:rsid w:val="009B2B40"/>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3B48"/>
    <w:rsid w:val="00A1423E"/>
    <w:rsid w:val="00A17664"/>
    <w:rsid w:val="00A20FAF"/>
    <w:rsid w:val="00A24520"/>
    <w:rsid w:val="00A3164A"/>
    <w:rsid w:val="00A37F42"/>
    <w:rsid w:val="00A40886"/>
    <w:rsid w:val="00A4411F"/>
    <w:rsid w:val="00A500D6"/>
    <w:rsid w:val="00A50EEC"/>
    <w:rsid w:val="00A523FF"/>
    <w:rsid w:val="00A54756"/>
    <w:rsid w:val="00A54C66"/>
    <w:rsid w:val="00A57D36"/>
    <w:rsid w:val="00A61BB6"/>
    <w:rsid w:val="00A65734"/>
    <w:rsid w:val="00A6687F"/>
    <w:rsid w:val="00A67907"/>
    <w:rsid w:val="00A73CC1"/>
    <w:rsid w:val="00A80270"/>
    <w:rsid w:val="00A82DB1"/>
    <w:rsid w:val="00A84127"/>
    <w:rsid w:val="00A86DA2"/>
    <w:rsid w:val="00A87725"/>
    <w:rsid w:val="00A90DFC"/>
    <w:rsid w:val="00A91BF3"/>
    <w:rsid w:val="00AA0A9C"/>
    <w:rsid w:val="00AA16C0"/>
    <w:rsid w:val="00AA4CDC"/>
    <w:rsid w:val="00AB21D4"/>
    <w:rsid w:val="00AB21F5"/>
    <w:rsid w:val="00AB2A79"/>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71F98"/>
    <w:rsid w:val="00B823EB"/>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24EA"/>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8321D"/>
    <w:rsid w:val="00C959CA"/>
    <w:rsid w:val="00C95D16"/>
    <w:rsid w:val="00CA2AB4"/>
    <w:rsid w:val="00CB0100"/>
    <w:rsid w:val="00CB04D2"/>
    <w:rsid w:val="00CD3272"/>
    <w:rsid w:val="00CD7E13"/>
    <w:rsid w:val="00CD7EFE"/>
    <w:rsid w:val="00CE0C66"/>
    <w:rsid w:val="00CE28CF"/>
    <w:rsid w:val="00CE4386"/>
    <w:rsid w:val="00CE43BD"/>
    <w:rsid w:val="00CE4CDC"/>
    <w:rsid w:val="00CE5BEB"/>
    <w:rsid w:val="00CE69E9"/>
    <w:rsid w:val="00CE71F2"/>
    <w:rsid w:val="00CF3F65"/>
    <w:rsid w:val="00CF464D"/>
    <w:rsid w:val="00D17EF4"/>
    <w:rsid w:val="00D23770"/>
    <w:rsid w:val="00D25074"/>
    <w:rsid w:val="00D34517"/>
    <w:rsid w:val="00D36798"/>
    <w:rsid w:val="00D47E80"/>
    <w:rsid w:val="00D564BC"/>
    <w:rsid w:val="00D70563"/>
    <w:rsid w:val="00D70D89"/>
    <w:rsid w:val="00D72051"/>
    <w:rsid w:val="00D7380B"/>
    <w:rsid w:val="00D75D77"/>
    <w:rsid w:val="00D7639E"/>
    <w:rsid w:val="00D835EF"/>
    <w:rsid w:val="00D85F09"/>
    <w:rsid w:val="00D86A9D"/>
    <w:rsid w:val="00DA089A"/>
    <w:rsid w:val="00DA11A0"/>
    <w:rsid w:val="00DA2822"/>
    <w:rsid w:val="00DA464F"/>
    <w:rsid w:val="00DA690B"/>
    <w:rsid w:val="00DA7225"/>
    <w:rsid w:val="00DB326E"/>
    <w:rsid w:val="00DB44E9"/>
    <w:rsid w:val="00DB5940"/>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46DC6"/>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4C03"/>
    <w:rsid w:val="00F05DB1"/>
    <w:rsid w:val="00F06CCF"/>
    <w:rsid w:val="00F1053D"/>
    <w:rsid w:val="00F110D5"/>
    <w:rsid w:val="00F11E63"/>
    <w:rsid w:val="00F12733"/>
    <w:rsid w:val="00F171E1"/>
    <w:rsid w:val="00F20DCF"/>
    <w:rsid w:val="00F25B36"/>
    <w:rsid w:val="00F3052A"/>
    <w:rsid w:val="00F341E3"/>
    <w:rsid w:val="00F348DD"/>
    <w:rsid w:val="00F359AC"/>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67219"/>
    <w:rsid w:val="00F7242E"/>
    <w:rsid w:val="00F74B33"/>
    <w:rsid w:val="00F75B90"/>
    <w:rsid w:val="00F810DD"/>
    <w:rsid w:val="00F95E2F"/>
    <w:rsid w:val="00F96DEB"/>
    <w:rsid w:val="00FA1872"/>
    <w:rsid w:val="00FA4F34"/>
    <w:rsid w:val="00FB2590"/>
    <w:rsid w:val="00FD5A8C"/>
    <w:rsid w:val="00FE286E"/>
    <w:rsid w:val="00FE3233"/>
    <w:rsid w:val="00FE4C68"/>
    <w:rsid w:val="00FE5FAF"/>
    <w:rsid w:val="00FE6D74"/>
    <w:rsid w:val="00FF36DD"/>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BasicText">
    <w:name w:val="Basic Text"/>
    <w:basedOn w:val="Normal"/>
    <w:rsid w:val="00FF36DD"/>
    <w:pPr>
      <w:spacing w:before="40" w:after="40"/>
      <w:ind w:left="720"/>
    </w:pPr>
    <w:rPr>
      <w:rFonts w:ascii="Times New Roman" w:hAnsi="Times New Roman"/>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BasicText">
    <w:name w:val="Basic Text"/>
    <w:basedOn w:val="Normal"/>
    <w:rsid w:val="00FF36DD"/>
    <w:pPr>
      <w:spacing w:before="40" w:after="40"/>
      <w:ind w:left="720"/>
    </w:pPr>
    <w:rPr>
      <w:rFonts w:ascii="Times New Roman" w:hAnsi="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caltf.org/approved-measure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 Id="rId22" Type="http://schemas.openxmlformats.org/officeDocument/2006/relationships/glossaryDocument" Target="glossary/document.xml"/></Relationships>
</file>

<file path=word/_rels/endnotes.xml.rels><?xml version="1.0" encoding="UTF-8" standalone="yes"?>
<Relationships xmlns="http://schemas.openxmlformats.org/package/2006/relationships"><Relationship Id="rId1" Type="http://schemas.openxmlformats.org/officeDocument/2006/relationships/hyperlink" Target="http://eega.cpuc.ca.gov/dee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5D329A73"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5D329A74"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5D329A75"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5D329A76"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80C78"/>
    <w:rsid w:val="001E6D8B"/>
    <w:rsid w:val="00204A7F"/>
    <w:rsid w:val="002B514B"/>
    <w:rsid w:val="002C0C03"/>
    <w:rsid w:val="00311B0D"/>
    <w:rsid w:val="003A131F"/>
    <w:rsid w:val="00560392"/>
    <w:rsid w:val="006B7FA8"/>
    <w:rsid w:val="00752DC5"/>
    <w:rsid w:val="008211B5"/>
    <w:rsid w:val="00874653"/>
    <w:rsid w:val="00962833"/>
    <w:rsid w:val="00A5022A"/>
    <w:rsid w:val="00AE4C28"/>
    <w:rsid w:val="00B73964"/>
    <w:rsid w:val="00B74704"/>
    <w:rsid w:val="00C947B8"/>
    <w:rsid w:val="00CD73B3"/>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329A7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2DC5"/>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2DC5"/>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2016-09-29T00:00:00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E4C04AAA-17BA-43B1-B22C-74840CEAC41A}">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F2DDC6E-6996-43B6-BAED-86979B994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1928</TotalTime>
  <Pages>13</Pages>
  <Words>3466</Words>
  <Characters>19757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PGECOPUM105</vt:lpstr>
    </vt:vector>
  </TitlesOfParts>
  <Company>Pacific Gas &amp; Electric Company</Company>
  <LinksUpToDate>false</LinksUpToDate>
  <CharactersWithSpaces>23177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PGECOPUM105</dc:title>
  <dc:creator>Jim Wyatt (PG&amp;E);Jason Wang (SCE)</dc:creator>
  <cp:lastModifiedBy>Wan, Linda</cp:lastModifiedBy>
  <cp:revision>23</cp:revision>
  <dcterms:created xsi:type="dcterms:W3CDTF">2016-09-13T18:07:00Z</dcterms:created>
  <dcterms:modified xsi:type="dcterms:W3CDTF">2016-09-29T23:06:00Z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